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EEEBD6" w14:textId="77777777" w:rsidR="002A55D1" w:rsidRDefault="002A55D1" w:rsidP="002A55D1">
      <w:pPr>
        <w:jc w:val="center"/>
        <w:rPr>
          <w:b/>
        </w:rPr>
      </w:pPr>
    </w:p>
    <w:p w14:paraId="7AED6D80" w14:textId="77777777" w:rsidR="00FB7213" w:rsidRDefault="00FB7213" w:rsidP="002A55D1">
      <w:pPr>
        <w:jc w:val="center"/>
        <w:rPr>
          <w:b/>
        </w:rPr>
      </w:pPr>
    </w:p>
    <w:p w14:paraId="018EC934" w14:textId="77777777" w:rsidR="00FB7213" w:rsidRDefault="00FB7213" w:rsidP="002A55D1">
      <w:pPr>
        <w:jc w:val="center"/>
        <w:rPr>
          <w:b/>
        </w:rPr>
      </w:pPr>
    </w:p>
    <w:p w14:paraId="5F1AEE7C" w14:textId="77777777" w:rsidR="002A55D1" w:rsidRDefault="002A55D1" w:rsidP="002A55D1">
      <w:pPr>
        <w:jc w:val="center"/>
        <w:rPr>
          <w:b/>
        </w:rPr>
      </w:pPr>
      <w:r>
        <w:rPr>
          <w:b/>
        </w:rPr>
        <w:t>Varjupaiga-, Rände- ja Integratsioonifond (AMIF)</w:t>
      </w:r>
    </w:p>
    <w:p w14:paraId="273BFD8A" w14:textId="77777777" w:rsidR="002A55D1" w:rsidRDefault="002A55D1" w:rsidP="002A55D1">
      <w:pPr>
        <w:jc w:val="center"/>
        <w:rPr>
          <w:b/>
        </w:rPr>
      </w:pPr>
    </w:p>
    <w:p w14:paraId="437A5F97" w14:textId="4733D676" w:rsidR="002A55D1" w:rsidRDefault="002A55D1" w:rsidP="002A55D1">
      <w:pPr>
        <w:jc w:val="center"/>
        <w:rPr>
          <w:b/>
        </w:rPr>
      </w:pPr>
      <w:r>
        <w:rPr>
          <w:b/>
        </w:rPr>
        <w:t>TEGEVUSTE VAHEARUANNE</w:t>
      </w:r>
    </w:p>
    <w:p w14:paraId="48B1F022" w14:textId="77777777" w:rsidR="002A55D1" w:rsidRDefault="002A55D1" w:rsidP="002A55D1">
      <w:pP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946"/>
      </w:tblGrid>
      <w:tr w:rsidR="002A55D1" w14:paraId="6C9B8B60" w14:textId="77777777" w:rsidTr="001D50CF">
        <w:tc>
          <w:tcPr>
            <w:tcW w:w="2660" w:type="dxa"/>
            <w:shd w:val="clear" w:color="auto" w:fill="E0E0E0"/>
            <w:hideMark/>
          </w:tcPr>
          <w:p w14:paraId="6D561EBE" w14:textId="77777777" w:rsidR="002A55D1" w:rsidRDefault="002A55D1" w:rsidP="008342BA">
            <w:pPr>
              <w:spacing w:line="276" w:lineRule="auto"/>
              <w:rPr>
                <w:b/>
              </w:rPr>
            </w:pPr>
            <w:r>
              <w:rPr>
                <w:b/>
              </w:rPr>
              <w:t>Toetuse saaja</w:t>
            </w:r>
          </w:p>
        </w:tc>
        <w:tc>
          <w:tcPr>
            <w:tcW w:w="6946" w:type="dxa"/>
          </w:tcPr>
          <w:p w14:paraId="1BE6496D" w14:textId="634B46A8" w:rsidR="002A55D1" w:rsidRDefault="00DC2D52" w:rsidP="008342BA">
            <w:pPr>
              <w:spacing w:line="276" w:lineRule="auto"/>
            </w:pPr>
            <w:r>
              <w:t>MTÜ Johannes Mihkelsoni Keskus</w:t>
            </w:r>
          </w:p>
        </w:tc>
      </w:tr>
      <w:tr w:rsidR="002A55D1" w14:paraId="0329526B" w14:textId="77777777" w:rsidTr="001D50CF">
        <w:tc>
          <w:tcPr>
            <w:tcW w:w="2660" w:type="dxa"/>
            <w:shd w:val="clear" w:color="auto" w:fill="E0E0E0"/>
            <w:hideMark/>
          </w:tcPr>
          <w:p w14:paraId="263EC53B" w14:textId="77777777" w:rsidR="002A55D1" w:rsidRDefault="002A55D1" w:rsidP="008342BA">
            <w:pPr>
              <w:spacing w:line="276" w:lineRule="auto"/>
              <w:rPr>
                <w:b/>
              </w:rPr>
            </w:pPr>
            <w:r>
              <w:rPr>
                <w:b/>
              </w:rPr>
              <w:t>Projekti pealkiri</w:t>
            </w:r>
          </w:p>
        </w:tc>
        <w:tc>
          <w:tcPr>
            <w:tcW w:w="6946" w:type="dxa"/>
          </w:tcPr>
          <w:p w14:paraId="51213CE1" w14:textId="59E29563" w:rsidR="002A55D1" w:rsidRPr="00DC2D52" w:rsidRDefault="00DC2D52" w:rsidP="008342BA">
            <w:pPr>
              <w:spacing w:line="276" w:lineRule="auto"/>
            </w:pPr>
            <w:r w:rsidRPr="00DC2D52">
              <w:t>Tugiisikuteenus varjupaigataotlejatele ja rahvusvahelise kaitse saanud isikutele</w:t>
            </w:r>
          </w:p>
        </w:tc>
      </w:tr>
      <w:tr w:rsidR="002A55D1" w14:paraId="5CA91848" w14:textId="77777777" w:rsidTr="001D50CF">
        <w:tc>
          <w:tcPr>
            <w:tcW w:w="2660" w:type="dxa"/>
            <w:shd w:val="clear" w:color="auto" w:fill="E0E0E0"/>
            <w:hideMark/>
          </w:tcPr>
          <w:p w14:paraId="634B7BB5" w14:textId="77777777" w:rsidR="002A55D1" w:rsidRDefault="002A55D1" w:rsidP="008342BA">
            <w:pPr>
              <w:spacing w:line="276" w:lineRule="auto"/>
              <w:rPr>
                <w:b/>
              </w:rPr>
            </w:pPr>
            <w:r>
              <w:rPr>
                <w:b/>
              </w:rPr>
              <w:t>Projekti number</w:t>
            </w:r>
          </w:p>
        </w:tc>
        <w:tc>
          <w:tcPr>
            <w:tcW w:w="6946" w:type="dxa"/>
          </w:tcPr>
          <w:p w14:paraId="61D5A85E" w14:textId="6489E88E" w:rsidR="002A55D1" w:rsidRPr="00DC2D52" w:rsidRDefault="00DC2D52" w:rsidP="008342BA">
            <w:pPr>
              <w:spacing w:line="276" w:lineRule="auto"/>
            </w:pPr>
            <w:r w:rsidRPr="00DC2D52">
              <w:t>AMIF2015-10</w:t>
            </w:r>
          </w:p>
        </w:tc>
      </w:tr>
      <w:tr w:rsidR="002A55D1" w14:paraId="7639C2EE" w14:textId="77777777" w:rsidTr="001D50CF">
        <w:tc>
          <w:tcPr>
            <w:tcW w:w="2660" w:type="dxa"/>
            <w:shd w:val="clear" w:color="auto" w:fill="E0E0E0"/>
          </w:tcPr>
          <w:p w14:paraId="5E155ED7" w14:textId="77777777" w:rsidR="002A55D1" w:rsidRDefault="002A55D1" w:rsidP="008342BA">
            <w:pPr>
              <w:spacing w:line="276" w:lineRule="auto"/>
              <w:rPr>
                <w:b/>
              </w:rPr>
            </w:pPr>
            <w:r>
              <w:rPr>
                <w:b/>
              </w:rPr>
              <w:t>Toetuslepingu number</w:t>
            </w:r>
          </w:p>
        </w:tc>
        <w:tc>
          <w:tcPr>
            <w:tcW w:w="6946" w:type="dxa"/>
          </w:tcPr>
          <w:p w14:paraId="74E45264" w14:textId="3F734394" w:rsidR="002A55D1" w:rsidRPr="00493722" w:rsidRDefault="00493722" w:rsidP="008342BA">
            <w:pPr>
              <w:spacing w:line="276" w:lineRule="auto"/>
            </w:pPr>
            <w:r w:rsidRPr="00493722">
              <w:t>14-8.668-1</w:t>
            </w:r>
          </w:p>
        </w:tc>
      </w:tr>
      <w:tr w:rsidR="002A55D1" w14:paraId="6CCA7442" w14:textId="77777777" w:rsidTr="001D50CF">
        <w:tc>
          <w:tcPr>
            <w:tcW w:w="2660" w:type="dxa"/>
            <w:shd w:val="clear" w:color="auto" w:fill="E0E0E0"/>
            <w:hideMark/>
          </w:tcPr>
          <w:p w14:paraId="20F8275D" w14:textId="77777777" w:rsidR="002A55D1" w:rsidRDefault="002A55D1" w:rsidP="008342BA">
            <w:pPr>
              <w:spacing w:line="276" w:lineRule="auto"/>
              <w:rPr>
                <w:b/>
              </w:rPr>
            </w:pPr>
            <w:r>
              <w:rPr>
                <w:b/>
              </w:rPr>
              <w:t>Aruandlusperiood</w:t>
            </w:r>
          </w:p>
          <w:p w14:paraId="6B0ADAD9" w14:textId="77777777" w:rsidR="002A55D1" w:rsidRPr="00414A5D" w:rsidRDefault="002A55D1" w:rsidP="008342BA">
            <w:pPr>
              <w:spacing w:line="276" w:lineRule="auto"/>
              <w:rPr>
                <w:b/>
                <w:i/>
                <w:sz w:val="20"/>
              </w:rPr>
            </w:pPr>
            <w:r w:rsidRPr="00414A5D">
              <w:rPr>
                <w:b/>
                <w:i/>
                <w:sz w:val="20"/>
              </w:rPr>
              <w:t>(pp.kk.aa</w:t>
            </w:r>
            <w:r>
              <w:rPr>
                <w:b/>
                <w:i/>
                <w:sz w:val="20"/>
              </w:rPr>
              <w:t>–</w:t>
            </w:r>
            <w:r w:rsidRPr="00414A5D">
              <w:rPr>
                <w:b/>
                <w:i/>
                <w:sz w:val="20"/>
              </w:rPr>
              <w:t>pp.kk.aa)</w:t>
            </w:r>
          </w:p>
        </w:tc>
        <w:tc>
          <w:tcPr>
            <w:tcW w:w="6946" w:type="dxa"/>
          </w:tcPr>
          <w:p w14:paraId="1A7A9C4A" w14:textId="6A013D75" w:rsidR="002A55D1" w:rsidRPr="00ED7B5B" w:rsidRDefault="00ED7B5B" w:rsidP="008342BA">
            <w:pPr>
              <w:spacing w:line="276" w:lineRule="auto"/>
            </w:pPr>
            <w:r w:rsidRPr="00ED7B5B">
              <w:t>01.07. – 31.12.2015</w:t>
            </w:r>
          </w:p>
        </w:tc>
      </w:tr>
      <w:tr w:rsidR="002A55D1" w:rsidRPr="00ED6848" w14:paraId="52B7F89C" w14:textId="77777777" w:rsidTr="001D50CF">
        <w:tblPrEx>
          <w:tblLook w:val="0000" w:firstRow="0" w:lastRow="0" w:firstColumn="0" w:lastColumn="0" w:noHBand="0" w:noVBand="0"/>
        </w:tblPrEx>
        <w:tc>
          <w:tcPr>
            <w:tcW w:w="2660" w:type="dxa"/>
            <w:shd w:val="clear" w:color="auto" w:fill="E0E0E0"/>
            <w:vAlign w:val="center"/>
          </w:tcPr>
          <w:p w14:paraId="2DDAFCB7" w14:textId="77777777" w:rsidR="002A55D1" w:rsidRDefault="002A55D1" w:rsidP="008342BA">
            <w:pPr>
              <w:spacing w:line="360" w:lineRule="auto"/>
              <w:rPr>
                <w:b/>
                <w:bCs/>
              </w:rPr>
            </w:pPr>
            <w:r w:rsidRPr="00ED6848">
              <w:rPr>
                <w:b/>
                <w:bCs/>
              </w:rPr>
              <w:t>Valdkond</w:t>
            </w:r>
          </w:p>
          <w:p w14:paraId="451DD252" w14:textId="77777777" w:rsidR="002A55D1" w:rsidRPr="00ED6848" w:rsidRDefault="002A55D1" w:rsidP="008342BA">
            <w:pPr>
              <w:spacing w:line="360" w:lineRule="auto"/>
              <w:rPr>
                <w:b/>
                <w:bCs/>
                <w:i/>
              </w:rPr>
            </w:pPr>
            <w:r>
              <w:rPr>
                <w:b/>
                <w:bCs/>
              </w:rPr>
              <w:t xml:space="preserve"> </w:t>
            </w:r>
            <w:r w:rsidRPr="00414A5D">
              <w:rPr>
                <w:b/>
                <w:bCs/>
                <w:i/>
                <w:sz w:val="20"/>
              </w:rPr>
              <w:t xml:space="preserve">(märkida </w:t>
            </w:r>
            <w:proofErr w:type="spellStart"/>
            <w:r w:rsidRPr="00414A5D">
              <w:rPr>
                <w:b/>
                <w:bCs/>
                <w:i/>
                <w:sz w:val="20"/>
              </w:rPr>
              <w:t>kohalduv(ad</w:t>
            </w:r>
            <w:proofErr w:type="spellEnd"/>
            <w:r w:rsidRPr="00414A5D">
              <w:rPr>
                <w:b/>
                <w:bCs/>
                <w:i/>
                <w:sz w:val="20"/>
              </w:rPr>
              <w:t>)</w:t>
            </w:r>
          </w:p>
        </w:tc>
        <w:tc>
          <w:tcPr>
            <w:tcW w:w="6946" w:type="dxa"/>
          </w:tcPr>
          <w:p w14:paraId="241A6577" w14:textId="6214B3F4" w:rsidR="002A55D1" w:rsidRPr="00ED6848" w:rsidRDefault="00B9109E" w:rsidP="008342BA">
            <w:pPr>
              <w:spacing w:before="100" w:beforeAutospacing="1" w:after="100" w:afterAutospacing="1"/>
              <w:jc w:val="left"/>
            </w:pPr>
            <w:sdt>
              <w:sdtPr>
                <w:id w:val="1796564783"/>
                <w14:checkbox>
                  <w14:checked w14:val="1"/>
                  <w14:checkedState w14:val="2612" w14:font="MS Gothic"/>
                  <w14:uncheckedState w14:val="2610" w14:font="MS Gothic"/>
                </w14:checkbox>
              </w:sdtPr>
              <w:sdtEndPr/>
              <w:sdtContent>
                <w:r w:rsidR="00DC2D52">
                  <w:rPr>
                    <w:rFonts w:ascii="MS Gothic" w:eastAsia="MS Gothic" w:hAnsi="MS Gothic" w:hint="eastAsia"/>
                  </w:rPr>
                  <w:t>☒</w:t>
                </w:r>
              </w:sdtContent>
            </w:sdt>
            <w:r w:rsidR="002A55D1">
              <w:t xml:space="preserve"> Euroopa ühine varjupaigasüsteem</w:t>
            </w:r>
          </w:p>
          <w:p w14:paraId="23B33942" w14:textId="2DC558DA" w:rsidR="002A55D1" w:rsidRPr="00ED6848" w:rsidRDefault="002A55D1" w:rsidP="008342BA">
            <w:pPr>
              <w:spacing w:before="100" w:beforeAutospacing="1" w:after="100" w:afterAutospacing="1"/>
              <w:contextualSpacing/>
              <w:jc w:val="left"/>
            </w:pPr>
            <w:r w:rsidRPr="00ED6848">
              <w:t xml:space="preserve">           </w:t>
            </w:r>
            <w:sdt>
              <w:sdtPr>
                <w:id w:val="471337668"/>
                <w14:checkbox>
                  <w14:checked w14:val="1"/>
                  <w14:checkedState w14:val="2612" w14:font="MS Gothic"/>
                  <w14:uncheckedState w14:val="2610" w14:font="MS Gothic"/>
                </w14:checkbox>
              </w:sdtPr>
              <w:sdtEndPr/>
              <w:sdtContent>
                <w:r w:rsidR="00DC2D52">
                  <w:rPr>
                    <w:rFonts w:ascii="MS Gothic" w:eastAsia="MS Gothic" w:hAnsi="MS Gothic" w:hint="eastAsia"/>
                  </w:rPr>
                  <w:t>☒</w:t>
                </w:r>
              </w:sdtContent>
            </w:sdt>
            <w:r w:rsidRPr="00ED6848">
              <w:t xml:space="preserve"> </w:t>
            </w:r>
            <w:r>
              <w:t>vastuvõtu- ja varjupaigasüsteemid</w:t>
            </w:r>
          </w:p>
          <w:p w14:paraId="2DA86734" w14:textId="77777777" w:rsidR="002A55D1" w:rsidRDefault="002A55D1" w:rsidP="008342BA">
            <w:pPr>
              <w:spacing w:before="100" w:beforeAutospacing="1" w:after="100" w:afterAutospacing="1"/>
              <w:contextualSpacing/>
              <w:jc w:val="left"/>
            </w:pPr>
            <w:r w:rsidRPr="00ED6848">
              <w:t xml:space="preserve">           </w:t>
            </w:r>
            <w:sdt>
              <w:sdtPr>
                <w:id w:val="1402328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w:t>
            </w:r>
          </w:p>
          <w:p w14:paraId="308C01A5" w14:textId="77777777" w:rsidR="002A55D1" w:rsidRPr="00ED6848" w:rsidRDefault="002A55D1" w:rsidP="008342BA">
            <w:pPr>
              <w:spacing w:before="100" w:beforeAutospacing="1" w:after="100" w:afterAutospacing="1"/>
              <w:contextualSpacing/>
              <w:jc w:val="left"/>
              <w:rPr>
                <w:i/>
              </w:rPr>
            </w:pPr>
          </w:p>
          <w:p w14:paraId="0627E2EC" w14:textId="77777777" w:rsidR="002A55D1" w:rsidRPr="00ED6848" w:rsidRDefault="00B9109E" w:rsidP="008342BA">
            <w:pPr>
              <w:spacing w:before="100" w:beforeAutospacing="1" w:after="100" w:afterAutospacing="1"/>
              <w:jc w:val="left"/>
            </w:pPr>
            <w:sdt>
              <w:sdtPr>
                <w:id w:val="-1008514204"/>
                <w14:checkbox>
                  <w14:checked w14:val="0"/>
                  <w14:checkedState w14:val="2612" w14:font="MS Gothic"/>
                  <w14:uncheckedState w14:val="2610" w14:font="MS Gothic"/>
                </w14:checkbox>
              </w:sdtPr>
              <w:sdtEndPr/>
              <w:sdtContent>
                <w:r w:rsidR="002A55D1">
                  <w:rPr>
                    <w:rFonts w:ascii="MS Gothic" w:eastAsia="MS Gothic" w:hAnsi="MS Gothic" w:hint="eastAsia"/>
                  </w:rPr>
                  <w:t>☐</w:t>
                </w:r>
              </w:sdtContent>
            </w:sdt>
            <w:r w:rsidR="002A55D1" w:rsidRPr="00ED6848">
              <w:t xml:space="preserve"> Integratsioon</w:t>
            </w:r>
            <w:r w:rsidR="002A55D1">
              <w:t xml:space="preserve"> ja seaduslik ränne</w:t>
            </w:r>
          </w:p>
          <w:p w14:paraId="43393241" w14:textId="77777777" w:rsidR="002A55D1" w:rsidRPr="00ED6848" w:rsidRDefault="002A55D1" w:rsidP="008342BA">
            <w:pPr>
              <w:spacing w:before="100" w:beforeAutospacing="1" w:after="100" w:afterAutospacing="1"/>
              <w:contextualSpacing/>
              <w:jc w:val="left"/>
              <w:rPr>
                <w:i/>
              </w:rPr>
            </w:pPr>
            <w:r w:rsidRPr="00ED6848">
              <w:t xml:space="preserve">          </w:t>
            </w:r>
            <w:sdt>
              <w:sdtPr>
                <w:id w:val="8254719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integratsioonimeetmed</w:t>
            </w:r>
          </w:p>
          <w:p w14:paraId="0449BC23" w14:textId="77777777" w:rsidR="002A55D1" w:rsidRDefault="002A55D1" w:rsidP="008342BA">
            <w:pPr>
              <w:spacing w:before="100" w:beforeAutospacing="1" w:after="100" w:afterAutospacing="1"/>
              <w:contextualSpacing/>
              <w:jc w:val="left"/>
            </w:pPr>
            <w:r w:rsidRPr="00ED6848">
              <w:t xml:space="preserve">          </w:t>
            </w:r>
            <w:sdt>
              <w:sdtPr>
                <w:id w:val="-572425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 ja praktiline koostöö</w:t>
            </w:r>
          </w:p>
          <w:p w14:paraId="1BC339FF" w14:textId="77777777" w:rsidR="002A55D1" w:rsidRPr="00ED6848" w:rsidRDefault="002A55D1" w:rsidP="008342BA">
            <w:pPr>
              <w:spacing w:before="100" w:beforeAutospacing="1" w:after="100" w:afterAutospacing="1"/>
              <w:contextualSpacing/>
              <w:jc w:val="left"/>
              <w:rPr>
                <w:i/>
              </w:rPr>
            </w:pPr>
          </w:p>
          <w:p w14:paraId="2B94B6B7" w14:textId="77777777" w:rsidR="002A55D1" w:rsidRPr="00ED6848" w:rsidRDefault="002A55D1" w:rsidP="008342BA">
            <w:pPr>
              <w:spacing w:before="100" w:beforeAutospacing="1" w:after="100" w:afterAutospacing="1"/>
              <w:jc w:val="left"/>
            </w:pPr>
            <w:r w:rsidRPr="00ED6848">
              <w:t xml:space="preserve"> </w:t>
            </w:r>
            <w:sdt>
              <w:sdtPr>
                <w:id w:val="11748427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ED6848">
              <w:t>Tagasi</w:t>
            </w:r>
            <w:r>
              <w:t>saatmine</w:t>
            </w:r>
          </w:p>
          <w:p w14:paraId="03326479" w14:textId="77777777" w:rsidR="002A55D1" w:rsidRPr="00ED6848" w:rsidRDefault="002A55D1" w:rsidP="008342BA">
            <w:pPr>
              <w:spacing w:before="100" w:beforeAutospacing="1" w:after="100" w:afterAutospacing="1"/>
              <w:contextualSpacing/>
              <w:jc w:val="left"/>
              <w:rPr>
                <w:i/>
              </w:rPr>
            </w:pPr>
            <w:r w:rsidRPr="00ED6848">
              <w:t xml:space="preserve">           </w:t>
            </w:r>
            <w:sdt>
              <w:sdtPr>
                <w:id w:val="-833910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tagasisaatmismenetlustega kaasnevad meetmed</w:t>
            </w:r>
          </w:p>
          <w:p w14:paraId="3F452F34" w14:textId="77777777" w:rsidR="002A55D1" w:rsidRDefault="002A55D1" w:rsidP="008342BA">
            <w:pPr>
              <w:spacing w:before="100" w:beforeAutospacing="1" w:after="100" w:afterAutospacing="1"/>
              <w:contextualSpacing/>
              <w:jc w:val="left"/>
            </w:pPr>
            <w:r w:rsidRPr="00ED6848">
              <w:t xml:space="preserve">           </w:t>
            </w:r>
            <w:sdt>
              <w:sdtPr>
                <w:id w:val="-683677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tagasisaatmismeetmed</w:t>
            </w:r>
          </w:p>
          <w:p w14:paraId="5C30AF0A" w14:textId="77777777" w:rsidR="002A55D1" w:rsidRPr="00ED6848" w:rsidRDefault="002A55D1" w:rsidP="008342BA">
            <w:pPr>
              <w:spacing w:before="100" w:beforeAutospacing="1" w:after="100" w:afterAutospacing="1"/>
              <w:contextualSpacing/>
              <w:jc w:val="left"/>
              <w:rPr>
                <w:i/>
              </w:rPr>
            </w:pPr>
            <w:r>
              <w:rPr>
                <w:i/>
              </w:rPr>
              <w:t xml:space="preserve">          </w:t>
            </w:r>
            <w:r>
              <w:t xml:space="preserve"> </w:t>
            </w:r>
            <w:sdt>
              <w:sdtPr>
                <w:id w:val="19597602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suutlikkuse arendamine ja praktiline koostöö</w:t>
            </w:r>
          </w:p>
        </w:tc>
      </w:tr>
    </w:tbl>
    <w:p w14:paraId="1543E96D" w14:textId="77777777" w:rsidR="003254F4" w:rsidRDefault="003254F4" w:rsidP="002A55D1">
      <w:pPr>
        <w:rPr>
          <w:b/>
        </w:rPr>
      </w:pPr>
    </w:p>
    <w:p w14:paraId="695EBDBB" w14:textId="77777777" w:rsidR="003254F4" w:rsidRDefault="003254F4" w:rsidP="002A55D1">
      <w:pPr>
        <w:rPr>
          <w:b/>
        </w:rPr>
      </w:pPr>
    </w:p>
    <w:p w14:paraId="25A88F2B" w14:textId="77777777" w:rsidR="002A55D1" w:rsidRDefault="002A55D1" w:rsidP="002A55D1">
      <w:pPr>
        <w:rPr>
          <w:b/>
        </w:rPr>
      </w:pPr>
      <w:r>
        <w:rPr>
          <w:b/>
        </w:rPr>
        <w:t>1. Projekti aruandlusperioodil elluviidud tegevused</w:t>
      </w:r>
    </w:p>
    <w:p w14:paraId="4E8922E3" w14:textId="77777777" w:rsidR="002A55D1" w:rsidRDefault="002A55D1" w:rsidP="002A55D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268"/>
        <w:gridCol w:w="3260"/>
        <w:gridCol w:w="3544"/>
      </w:tblGrid>
      <w:tr w:rsidR="002A55D1" w:rsidRPr="00414A5D" w14:paraId="6AC01921" w14:textId="77777777" w:rsidTr="003A2F42">
        <w:trPr>
          <w:trHeight w:val="270"/>
        </w:trPr>
        <w:tc>
          <w:tcPr>
            <w:tcW w:w="534" w:type="dxa"/>
            <w:shd w:val="clear" w:color="auto" w:fill="E0E0E0"/>
          </w:tcPr>
          <w:p w14:paraId="7E0C3621" w14:textId="77777777" w:rsidR="002A55D1" w:rsidRPr="00414A5D" w:rsidRDefault="002A55D1" w:rsidP="008342BA">
            <w:pPr>
              <w:rPr>
                <w:b/>
                <w:sz w:val="20"/>
              </w:rPr>
            </w:pPr>
            <w:r w:rsidRPr="00414A5D">
              <w:rPr>
                <w:b/>
                <w:sz w:val="20"/>
              </w:rPr>
              <w:t>Nr</w:t>
            </w:r>
          </w:p>
        </w:tc>
        <w:tc>
          <w:tcPr>
            <w:tcW w:w="2268" w:type="dxa"/>
            <w:shd w:val="clear" w:color="auto" w:fill="E0E0E0"/>
          </w:tcPr>
          <w:p w14:paraId="35857DC2" w14:textId="77777777" w:rsidR="002A55D1" w:rsidRPr="00414A5D" w:rsidRDefault="002A55D1" w:rsidP="008342BA">
            <w:pPr>
              <w:rPr>
                <w:b/>
                <w:sz w:val="20"/>
              </w:rPr>
            </w:pPr>
            <w:r w:rsidRPr="00414A5D">
              <w:rPr>
                <w:b/>
                <w:sz w:val="20"/>
              </w:rPr>
              <w:t xml:space="preserve">Tegevused </w:t>
            </w:r>
          </w:p>
        </w:tc>
        <w:tc>
          <w:tcPr>
            <w:tcW w:w="3260" w:type="dxa"/>
            <w:shd w:val="clear" w:color="auto" w:fill="E0E0E0"/>
          </w:tcPr>
          <w:p w14:paraId="5D36595C" w14:textId="77777777" w:rsidR="002A55D1" w:rsidRPr="00414A5D" w:rsidRDefault="002A55D1" w:rsidP="008342BA">
            <w:pPr>
              <w:rPr>
                <w:b/>
                <w:sz w:val="20"/>
              </w:rPr>
            </w:pPr>
            <w:r w:rsidRPr="00414A5D">
              <w:rPr>
                <w:b/>
                <w:sz w:val="20"/>
              </w:rPr>
              <w:t>Tegevuse planeeritud tulemus</w:t>
            </w:r>
          </w:p>
        </w:tc>
        <w:tc>
          <w:tcPr>
            <w:tcW w:w="3544" w:type="dxa"/>
            <w:shd w:val="clear" w:color="auto" w:fill="E0E0E0"/>
          </w:tcPr>
          <w:p w14:paraId="090F0F1E" w14:textId="77777777" w:rsidR="002A55D1" w:rsidRPr="00414A5D" w:rsidRDefault="002A55D1" w:rsidP="008342BA">
            <w:pPr>
              <w:rPr>
                <w:b/>
                <w:sz w:val="20"/>
              </w:rPr>
            </w:pPr>
            <w:r w:rsidRPr="00414A5D">
              <w:rPr>
                <w:b/>
                <w:sz w:val="20"/>
              </w:rPr>
              <w:t>Tegevuse tegelik tulemus</w:t>
            </w:r>
          </w:p>
          <w:p w14:paraId="21C3AC92" w14:textId="77777777" w:rsidR="002A55D1" w:rsidRPr="00414A5D" w:rsidRDefault="002A55D1" w:rsidP="008342BA">
            <w:pPr>
              <w:jc w:val="left"/>
              <w:rPr>
                <w:b/>
                <w:i/>
                <w:color w:val="FF0000"/>
                <w:sz w:val="20"/>
              </w:rPr>
            </w:pPr>
            <w:r w:rsidRPr="00414A5D">
              <w:rPr>
                <w:b/>
                <w:i/>
                <w:sz w:val="20"/>
              </w:rPr>
              <w:t>(</w:t>
            </w:r>
            <w:r w:rsidRPr="00A34462">
              <w:rPr>
                <w:i/>
                <w:sz w:val="20"/>
              </w:rPr>
              <w:t>lühidalt</w:t>
            </w:r>
            <w:r>
              <w:rPr>
                <w:b/>
                <w:i/>
                <w:sz w:val="20"/>
              </w:rPr>
              <w:t xml:space="preserve"> </w:t>
            </w:r>
            <w:r w:rsidRPr="006D08E7">
              <w:rPr>
                <w:i/>
                <w:sz w:val="20"/>
              </w:rPr>
              <w:t>konkreets</w:t>
            </w:r>
            <w:r>
              <w:rPr>
                <w:i/>
                <w:sz w:val="20"/>
              </w:rPr>
              <w:t>etes ja mõõdetavates terminites</w:t>
            </w:r>
            <w:r w:rsidRPr="006D08E7">
              <w:rPr>
                <w:i/>
                <w:sz w:val="20"/>
              </w:rPr>
              <w:t>:</w:t>
            </w:r>
            <w:r>
              <w:rPr>
                <w:i/>
                <w:sz w:val="20"/>
              </w:rPr>
              <w:t xml:space="preserve"> </w:t>
            </w:r>
            <w:r w:rsidRPr="006D08E7">
              <w:rPr>
                <w:i/>
                <w:sz w:val="20"/>
              </w:rPr>
              <w:t>kvantiteet (kui palju?), kvaliteet (kui hästi?), sihtgrupid (</w:t>
            </w:r>
            <w:r>
              <w:rPr>
                <w:i/>
                <w:sz w:val="20"/>
              </w:rPr>
              <w:t>kes/</w:t>
            </w:r>
            <w:r w:rsidRPr="006D08E7">
              <w:rPr>
                <w:i/>
                <w:sz w:val="20"/>
              </w:rPr>
              <w:t>kellele?), asukoht (kus?), aeg (millal?)</w:t>
            </w:r>
            <w:r>
              <w:rPr>
                <w:i/>
                <w:sz w:val="20"/>
              </w:rPr>
              <w:t xml:space="preserve"> jne</w:t>
            </w:r>
            <w:r w:rsidRPr="00414A5D">
              <w:rPr>
                <w:b/>
                <w:i/>
                <w:sz w:val="20"/>
              </w:rPr>
              <w:t>)</w:t>
            </w:r>
          </w:p>
        </w:tc>
      </w:tr>
      <w:tr w:rsidR="002A55D1" w:rsidRPr="00BD602E" w14:paraId="00F43D74" w14:textId="77777777" w:rsidTr="003A2F42">
        <w:trPr>
          <w:trHeight w:val="270"/>
        </w:trPr>
        <w:tc>
          <w:tcPr>
            <w:tcW w:w="534" w:type="dxa"/>
          </w:tcPr>
          <w:p w14:paraId="6690FAC0" w14:textId="4C9F9DC6" w:rsidR="002A55D1" w:rsidRPr="00BD602E" w:rsidRDefault="00ED7B5B" w:rsidP="00ED7B5B">
            <w:pPr>
              <w:widowControl/>
              <w:suppressAutoHyphens w:val="0"/>
              <w:spacing w:line="240" w:lineRule="auto"/>
              <w:rPr>
                <w:b/>
              </w:rPr>
            </w:pPr>
            <w:r>
              <w:rPr>
                <w:b/>
              </w:rPr>
              <w:t>1.</w:t>
            </w:r>
          </w:p>
        </w:tc>
        <w:tc>
          <w:tcPr>
            <w:tcW w:w="2268" w:type="dxa"/>
          </w:tcPr>
          <w:p w14:paraId="62F089F0" w14:textId="7730BFD7" w:rsidR="002A55D1" w:rsidRPr="003A6960" w:rsidRDefault="000E2004" w:rsidP="000E2004">
            <w:pPr>
              <w:jc w:val="left"/>
            </w:pPr>
            <w:r>
              <w:t>Tugiisikuteenuse pakkumine sihtrühmale üle Eesti</w:t>
            </w:r>
          </w:p>
        </w:tc>
        <w:tc>
          <w:tcPr>
            <w:tcW w:w="3260" w:type="dxa"/>
          </w:tcPr>
          <w:p w14:paraId="40E8B57F" w14:textId="0DFC2D9B" w:rsidR="002A55D1" w:rsidRPr="003A6960" w:rsidRDefault="000E2004" w:rsidP="000E2004">
            <w:pPr>
              <w:jc w:val="left"/>
            </w:pPr>
            <w:r>
              <w:t xml:space="preserve">Paranenud on haavatavatesse gruppidesse kuuluvate </w:t>
            </w:r>
            <w:commentRangeStart w:id="0"/>
            <w:r>
              <w:t>varjupaigataotlejate</w:t>
            </w:r>
            <w:commentRangeEnd w:id="0"/>
            <w:r w:rsidR="007F5F43">
              <w:rPr>
                <w:rStyle w:val="CommentReference"/>
                <w:rFonts w:cs="Mangal"/>
              </w:rPr>
              <w:commentReference w:id="0"/>
            </w:r>
            <w:r>
              <w:t xml:space="preserve"> ning rahvusvahelise kaitse saanud isikute sotsiaalne toimetulek ja kultuuriline kohanemine Eestis</w:t>
            </w:r>
            <w:r w:rsidR="00AE4BC5">
              <w:t>.</w:t>
            </w:r>
          </w:p>
        </w:tc>
        <w:tc>
          <w:tcPr>
            <w:tcW w:w="3544" w:type="dxa"/>
          </w:tcPr>
          <w:p w14:paraId="56EC3925" w14:textId="77777777" w:rsidR="005A7BE7" w:rsidRDefault="00642104" w:rsidP="00642104">
            <w:pPr>
              <w:jc w:val="left"/>
            </w:pPr>
            <w:r>
              <w:t xml:space="preserve">Abistatud on kokku 65 isikut (nende hulgas </w:t>
            </w:r>
            <w:commentRangeStart w:id="1"/>
            <w:r>
              <w:t>5</w:t>
            </w:r>
            <w:commentRangeEnd w:id="1"/>
            <w:r w:rsidR="007F5F43">
              <w:rPr>
                <w:rStyle w:val="CommentReference"/>
                <w:rFonts w:cs="Mangal"/>
              </w:rPr>
              <w:commentReference w:id="1"/>
            </w:r>
            <w:r>
              <w:t xml:space="preserve"> varjupaigataotlejat ning 60 rahvusvahelise kaitse saanud isikut). </w:t>
            </w:r>
          </w:p>
          <w:p w14:paraId="50DB679B" w14:textId="702EE392" w:rsidR="005A7BE7" w:rsidRDefault="00E773EA" w:rsidP="00642104">
            <w:pPr>
              <w:jc w:val="left"/>
            </w:pPr>
            <w:r>
              <w:t>Töötundide koguarv: 771 tundi</w:t>
            </w:r>
          </w:p>
          <w:p w14:paraId="1DD573CE" w14:textId="53DFEEDD" w:rsidR="002A55D1" w:rsidRDefault="00642104" w:rsidP="00642104">
            <w:pPr>
              <w:jc w:val="left"/>
            </w:pPr>
            <w:r>
              <w:t>Asukohad: Vao, Tallinn, Rakvere, Tartu, Viljandi.</w:t>
            </w:r>
          </w:p>
          <w:p w14:paraId="70E41002" w14:textId="4401EC94" w:rsidR="005A7BE7" w:rsidRDefault="00642104" w:rsidP="00642104">
            <w:pPr>
              <w:jc w:val="left"/>
            </w:pPr>
            <w:r>
              <w:t>Aeg: 01.07.-31.12.2015</w:t>
            </w:r>
          </w:p>
          <w:p w14:paraId="3A87A5E6" w14:textId="6E24017A" w:rsidR="00642104" w:rsidRPr="003A6960" w:rsidRDefault="00642104" w:rsidP="00642104">
            <w:pPr>
              <w:jc w:val="left"/>
            </w:pPr>
            <w:r w:rsidRPr="00D67326">
              <w:t>Kvaliteet:</w:t>
            </w:r>
            <w:r>
              <w:t xml:space="preserve"> </w:t>
            </w:r>
            <w:r w:rsidR="00283DF5">
              <w:t>(1</w:t>
            </w:r>
            <w:r w:rsidR="00D67326">
              <w:t xml:space="preserve">) kliendid on läbi tugiisikute saanud infot Eesti sotsiaalsüsteemi, toetuste, Töötukassa teenuste jms kohta (2) </w:t>
            </w:r>
            <w:r w:rsidR="00283DF5">
              <w:lastRenderedPageBreak/>
              <w:t>kliendid on seadnud endale konkreetsed eesmärgid läbi tegevusplaanide (3) tugiisikud on olnud vahelüliks asutustega suhtlemisel (SKA, KOV-i sotsiaaltöötaja, Töötukassa, haiglad jne) (4) tänu tugiisikutele on klientide psühholoogiline seisund parem, nad tunnevad end rohkem turvaliselt.</w:t>
            </w:r>
          </w:p>
        </w:tc>
      </w:tr>
      <w:tr w:rsidR="000E2004" w:rsidRPr="00BD602E" w14:paraId="7229D44F" w14:textId="77777777" w:rsidTr="003A2F42">
        <w:trPr>
          <w:trHeight w:val="270"/>
        </w:trPr>
        <w:tc>
          <w:tcPr>
            <w:tcW w:w="534" w:type="dxa"/>
          </w:tcPr>
          <w:p w14:paraId="2DE82154" w14:textId="0C227E8D" w:rsidR="000E2004" w:rsidRPr="00BD602E" w:rsidRDefault="00ED7B5B" w:rsidP="00ED7B5B">
            <w:pPr>
              <w:widowControl/>
              <w:suppressAutoHyphens w:val="0"/>
              <w:spacing w:line="240" w:lineRule="auto"/>
              <w:rPr>
                <w:b/>
              </w:rPr>
            </w:pPr>
            <w:r>
              <w:rPr>
                <w:b/>
              </w:rPr>
              <w:lastRenderedPageBreak/>
              <w:t>2.</w:t>
            </w:r>
          </w:p>
        </w:tc>
        <w:tc>
          <w:tcPr>
            <w:tcW w:w="2268" w:type="dxa"/>
          </w:tcPr>
          <w:p w14:paraId="3D5360C4" w14:textId="31E9C9AD" w:rsidR="000E2004" w:rsidRDefault="000E2004" w:rsidP="000E2004">
            <w:pPr>
              <w:jc w:val="left"/>
            </w:pPr>
            <w:r>
              <w:t>Rahvusvahelise kaitse saanud inimeste elamaasumise korraldamine kohalikesse omavalitsustesse, tööturuteenustele saamine või õppima asumine (koostöös Vao keskusega), kohaliku tasandi koostöömudeli arendamine.</w:t>
            </w:r>
          </w:p>
        </w:tc>
        <w:tc>
          <w:tcPr>
            <w:tcW w:w="3260" w:type="dxa"/>
          </w:tcPr>
          <w:p w14:paraId="42B42375" w14:textId="5DE0611C" w:rsidR="000E2004" w:rsidRPr="003A6960" w:rsidRDefault="000E2004" w:rsidP="000E2004">
            <w:pPr>
              <w:jc w:val="left"/>
            </w:pPr>
            <w:r>
              <w:t>Rahvusvahelise kaitse saanud isikud on saanud abi nende elamaasumise, tööturuteenusele saamise või õppima asumise korraldamise osas kohalike omavalitsuste piirkondades üle Eesti ning selleks on loodud kohaliku tasandi  koostöömudel erinevate osapoolte vahel (kohalik omavalitsus, JMK tugiisik, Töötukassa jt), esialgu Tartu linna näitel.</w:t>
            </w:r>
          </w:p>
        </w:tc>
        <w:tc>
          <w:tcPr>
            <w:tcW w:w="3544" w:type="dxa"/>
          </w:tcPr>
          <w:p w14:paraId="13C11AB2" w14:textId="36C59BFF" w:rsidR="000E2004" w:rsidRPr="003A6960" w:rsidRDefault="00571C62" w:rsidP="00642104">
            <w:pPr>
              <w:jc w:val="left"/>
            </w:pPr>
            <w:r>
              <w:t>Koostöömudel on loodud ja esimene k</w:t>
            </w:r>
            <w:r w:rsidR="00642104">
              <w:t>ohaliku tasandi k</w:t>
            </w:r>
            <w:r>
              <w:t>oostöökohtumine toimus 06.01.</w:t>
            </w:r>
            <w:r w:rsidR="00642104">
              <w:t>2016 Tartu linnavalitsuses.</w:t>
            </w:r>
            <w:r w:rsidR="00255E5D">
              <w:t xml:space="preserve"> Kokku on lepitud juhtumikorralduse põhimõte Tartu linnas toimetulekutoetust saavate </w:t>
            </w:r>
            <w:r w:rsidR="00B43295">
              <w:t>rahvusvahelise kaitse saanud isikute osas. Koostööskeem on neljapoolne: Tartu LV, Töötukassa, JMK tugiisik ning klient.</w:t>
            </w:r>
            <w:r w:rsidR="00642104">
              <w:t xml:space="preserve"> </w:t>
            </w:r>
          </w:p>
        </w:tc>
      </w:tr>
      <w:tr w:rsidR="002A55D1" w:rsidRPr="00BD602E" w14:paraId="5AC246D6" w14:textId="77777777" w:rsidTr="003A2F42">
        <w:trPr>
          <w:trHeight w:val="270"/>
        </w:trPr>
        <w:tc>
          <w:tcPr>
            <w:tcW w:w="534" w:type="dxa"/>
          </w:tcPr>
          <w:p w14:paraId="34E636E6" w14:textId="6F4AAE11" w:rsidR="002A55D1" w:rsidRPr="00BD602E" w:rsidRDefault="00ED7B5B" w:rsidP="00ED7B5B">
            <w:pPr>
              <w:widowControl/>
              <w:suppressAutoHyphens w:val="0"/>
              <w:spacing w:line="240" w:lineRule="auto"/>
              <w:jc w:val="left"/>
              <w:rPr>
                <w:b/>
              </w:rPr>
            </w:pPr>
            <w:r>
              <w:rPr>
                <w:b/>
              </w:rPr>
              <w:t>3.</w:t>
            </w:r>
          </w:p>
        </w:tc>
        <w:tc>
          <w:tcPr>
            <w:tcW w:w="2268" w:type="dxa"/>
          </w:tcPr>
          <w:p w14:paraId="7ED4F263" w14:textId="505F36C5" w:rsidR="002A55D1" w:rsidRPr="003A6960" w:rsidRDefault="000E2004" w:rsidP="000E2004">
            <w:pPr>
              <w:jc w:val="left"/>
            </w:pPr>
            <w:r>
              <w:t>Tugiisikute koolitamine</w:t>
            </w:r>
          </w:p>
        </w:tc>
        <w:tc>
          <w:tcPr>
            <w:tcW w:w="3260" w:type="dxa"/>
          </w:tcPr>
          <w:p w14:paraId="4A63CDB1" w14:textId="4064BB98" w:rsidR="002A55D1" w:rsidRPr="003A6960" w:rsidRDefault="000E2004" w:rsidP="00ED7B5B">
            <w:pPr>
              <w:jc w:val="left"/>
            </w:pPr>
            <w:r>
              <w:t>Välja on koolitatud uus rühm tugiisikuid, kes on asunud tööle sihtgruppi kuuluvate liikmetega</w:t>
            </w:r>
            <w:r w:rsidR="00B43295">
              <w:t>.</w:t>
            </w:r>
          </w:p>
        </w:tc>
        <w:tc>
          <w:tcPr>
            <w:tcW w:w="3544" w:type="dxa"/>
          </w:tcPr>
          <w:p w14:paraId="71D6DBFC" w14:textId="78C2ABCE" w:rsidR="002A55D1" w:rsidRPr="003A6960" w:rsidRDefault="00B43295" w:rsidP="00B43295">
            <w:pPr>
              <w:jc w:val="left"/>
            </w:pPr>
            <w:r>
              <w:t xml:space="preserve">Septembris-oktoobris </w:t>
            </w:r>
            <w:r w:rsidR="00ED7B5B">
              <w:t xml:space="preserve">koolitati välja 15 uut tugiisikut, kellest </w:t>
            </w:r>
            <w:r>
              <w:t>31.12.2015 seisuga on tööle asunud 6 inimest.</w:t>
            </w:r>
          </w:p>
        </w:tc>
      </w:tr>
      <w:tr w:rsidR="002A55D1" w:rsidRPr="00BD602E" w14:paraId="1F0402A2" w14:textId="77777777" w:rsidTr="003A2F42">
        <w:trPr>
          <w:trHeight w:val="270"/>
        </w:trPr>
        <w:tc>
          <w:tcPr>
            <w:tcW w:w="534" w:type="dxa"/>
          </w:tcPr>
          <w:p w14:paraId="6A2455FB" w14:textId="1F04C634" w:rsidR="002A55D1" w:rsidRPr="00BD602E" w:rsidRDefault="00ED7B5B" w:rsidP="00ED7B5B">
            <w:pPr>
              <w:widowControl/>
              <w:suppressAutoHyphens w:val="0"/>
              <w:spacing w:line="240" w:lineRule="auto"/>
              <w:rPr>
                <w:b/>
              </w:rPr>
            </w:pPr>
            <w:r>
              <w:rPr>
                <w:b/>
              </w:rPr>
              <w:t>4.</w:t>
            </w:r>
          </w:p>
        </w:tc>
        <w:tc>
          <w:tcPr>
            <w:tcW w:w="2268" w:type="dxa"/>
          </w:tcPr>
          <w:p w14:paraId="0F038103" w14:textId="52836D37" w:rsidR="00ED7B5B" w:rsidRPr="003A6960" w:rsidRDefault="004378AC" w:rsidP="004378AC">
            <w:pPr>
              <w:jc w:val="left"/>
            </w:pPr>
            <w:r>
              <w:t xml:space="preserve">Tõlketöö korraldamine, et abistada sihtrühma liikmeid suhtlusel ametiasutuste ja tugiisikutega. </w:t>
            </w:r>
          </w:p>
        </w:tc>
        <w:tc>
          <w:tcPr>
            <w:tcW w:w="3260" w:type="dxa"/>
          </w:tcPr>
          <w:p w14:paraId="1479091D" w14:textId="0DB236EB" w:rsidR="002A55D1" w:rsidRPr="003A6960" w:rsidRDefault="004378AC" w:rsidP="004378AC">
            <w:pPr>
              <w:jc w:val="left"/>
            </w:pPr>
            <w:r>
              <w:t>Käesoleva vahearuande perioodile (01.07. – 31.12.2015) ei olnud planeeritud konkreetset tõlketöö arvu kuna seda ei ole võimalik ette prognoosida.</w:t>
            </w:r>
          </w:p>
        </w:tc>
        <w:tc>
          <w:tcPr>
            <w:tcW w:w="3544" w:type="dxa"/>
          </w:tcPr>
          <w:p w14:paraId="025F59C8" w14:textId="3B2AB810" w:rsidR="002A55D1" w:rsidRPr="003A6960" w:rsidRDefault="004378AC" w:rsidP="005A7BE7">
            <w:pPr>
              <w:jc w:val="left"/>
            </w:pPr>
            <w:r>
              <w:t xml:space="preserve">01.07.-31.12.2015 toimus tõlketööd </w:t>
            </w:r>
            <w:r w:rsidR="005A7BE7">
              <w:t>57,5 töötunni eest (araabia-inglise suunal), mida viidi läbi juuli-november 2015.</w:t>
            </w:r>
          </w:p>
        </w:tc>
      </w:tr>
      <w:tr w:rsidR="000E2004" w:rsidRPr="00BD602E" w14:paraId="284024A7" w14:textId="77777777" w:rsidTr="003A2F42">
        <w:trPr>
          <w:trHeight w:val="270"/>
        </w:trPr>
        <w:tc>
          <w:tcPr>
            <w:tcW w:w="534" w:type="dxa"/>
          </w:tcPr>
          <w:p w14:paraId="58F242D0" w14:textId="15346E78" w:rsidR="000E2004" w:rsidRPr="00BD602E" w:rsidRDefault="00ED7B5B" w:rsidP="00ED7B5B">
            <w:pPr>
              <w:widowControl/>
              <w:suppressAutoHyphens w:val="0"/>
              <w:spacing w:line="240" w:lineRule="auto"/>
              <w:rPr>
                <w:b/>
              </w:rPr>
            </w:pPr>
            <w:r>
              <w:rPr>
                <w:b/>
              </w:rPr>
              <w:t>5.</w:t>
            </w:r>
          </w:p>
        </w:tc>
        <w:tc>
          <w:tcPr>
            <w:tcW w:w="2268" w:type="dxa"/>
          </w:tcPr>
          <w:p w14:paraId="60FA0CAA" w14:textId="7A2DAA8B" w:rsidR="000E2004" w:rsidRPr="003A6960" w:rsidRDefault="00FC138C" w:rsidP="004378AC">
            <w:pPr>
              <w:jc w:val="left"/>
            </w:pPr>
            <w:r>
              <w:t>Väljaspool Vao keskust elavatele rahvusvahelise kaitse saanud perede lastele neile vajaliku suvelaagri otsimine ning selle eest tasumine (pilootteenus, esialgne eesmärk on abistada 14 last).</w:t>
            </w:r>
          </w:p>
        </w:tc>
        <w:tc>
          <w:tcPr>
            <w:tcW w:w="3260" w:type="dxa"/>
          </w:tcPr>
          <w:p w14:paraId="73C4AD32" w14:textId="14B4E123" w:rsidR="000E2004" w:rsidRPr="003A6960" w:rsidRDefault="004378AC" w:rsidP="00FC138C">
            <w:pPr>
              <w:jc w:val="left"/>
            </w:pPr>
            <w:r>
              <w:t>Käesoleva vahearuande perioodile (01.07. – 31.12.2015) antud tegevust ei olnud planeeritud.</w:t>
            </w:r>
          </w:p>
        </w:tc>
        <w:tc>
          <w:tcPr>
            <w:tcW w:w="3544" w:type="dxa"/>
          </w:tcPr>
          <w:p w14:paraId="5B355664" w14:textId="35E08A0C" w:rsidR="000E2004" w:rsidRPr="003A6960" w:rsidRDefault="00FC138C" w:rsidP="0055057E">
            <w:pPr>
              <w:jc w:val="left"/>
            </w:pPr>
            <w:r>
              <w:t>Käesoleval vahearuande perioodil (01.07.-31.12.2015) pole veel lepinguid laste suvelaagritesse lähetamiseks sõlmitud.</w:t>
            </w:r>
          </w:p>
        </w:tc>
      </w:tr>
      <w:tr w:rsidR="00ED7B5B" w:rsidRPr="00BD602E" w14:paraId="5FE9E13D" w14:textId="77777777" w:rsidTr="003A2F42">
        <w:trPr>
          <w:trHeight w:val="270"/>
        </w:trPr>
        <w:tc>
          <w:tcPr>
            <w:tcW w:w="534" w:type="dxa"/>
          </w:tcPr>
          <w:p w14:paraId="6F8CA168" w14:textId="2A72CFFB" w:rsidR="00ED7B5B" w:rsidRDefault="00ED7B5B" w:rsidP="00ED7B5B">
            <w:pPr>
              <w:widowControl/>
              <w:suppressAutoHyphens w:val="0"/>
              <w:spacing w:line="240" w:lineRule="auto"/>
              <w:rPr>
                <w:b/>
              </w:rPr>
            </w:pPr>
            <w:r>
              <w:rPr>
                <w:b/>
              </w:rPr>
              <w:t>6.</w:t>
            </w:r>
          </w:p>
        </w:tc>
        <w:tc>
          <w:tcPr>
            <w:tcW w:w="2268" w:type="dxa"/>
          </w:tcPr>
          <w:p w14:paraId="645AB9CA" w14:textId="7DBFD275" w:rsidR="00ED7B5B" w:rsidRDefault="003F0679" w:rsidP="00FC138C">
            <w:pPr>
              <w:jc w:val="left"/>
            </w:pPr>
            <w:r>
              <w:t>Tugiisikute superviseerimine</w:t>
            </w:r>
          </w:p>
          <w:p w14:paraId="011901C1" w14:textId="77777777" w:rsidR="00ED7B5B" w:rsidRDefault="00ED7B5B" w:rsidP="00FC138C">
            <w:pPr>
              <w:jc w:val="left"/>
            </w:pPr>
          </w:p>
        </w:tc>
        <w:tc>
          <w:tcPr>
            <w:tcW w:w="3260" w:type="dxa"/>
          </w:tcPr>
          <w:p w14:paraId="3764FD0A" w14:textId="42F9D82D" w:rsidR="00ED7B5B" w:rsidRPr="003A6960" w:rsidRDefault="003F0679" w:rsidP="00FC138C">
            <w:pPr>
              <w:jc w:val="left"/>
            </w:pPr>
            <w:r>
              <w:t>Käesoleva vahearuande perioodiks oli planeeritud 2 supervisiooni.</w:t>
            </w:r>
          </w:p>
        </w:tc>
        <w:tc>
          <w:tcPr>
            <w:tcW w:w="3544" w:type="dxa"/>
          </w:tcPr>
          <w:p w14:paraId="384C3DC1" w14:textId="05E711FD" w:rsidR="00ED7B5B" w:rsidRDefault="003F0679" w:rsidP="0055057E">
            <w:pPr>
              <w:jc w:val="left"/>
            </w:pPr>
            <w:r>
              <w:t>Käesoleval perioodil toimus 1 supervisioon (detsembris).</w:t>
            </w:r>
          </w:p>
        </w:tc>
      </w:tr>
      <w:tr w:rsidR="00ED7B5B" w:rsidRPr="00BD602E" w14:paraId="089348CB" w14:textId="77777777" w:rsidTr="003A2F42">
        <w:trPr>
          <w:trHeight w:val="270"/>
        </w:trPr>
        <w:tc>
          <w:tcPr>
            <w:tcW w:w="534" w:type="dxa"/>
          </w:tcPr>
          <w:p w14:paraId="155C578F" w14:textId="1297CB30" w:rsidR="00ED7B5B" w:rsidRDefault="00ED7B5B" w:rsidP="00ED7B5B">
            <w:pPr>
              <w:widowControl/>
              <w:suppressAutoHyphens w:val="0"/>
              <w:spacing w:line="240" w:lineRule="auto"/>
              <w:rPr>
                <w:b/>
              </w:rPr>
            </w:pPr>
            <w:r>
              <w:rPr>
                <w:b/>
              </w:rPr>
              <w:t>7.</w:t>
            </w:r>
          </w:p>
          <w:p w14:paraId="34C041CF" w14:textId="77777777" w:rsidR="00ED7B5B" w:rsidRDefault="00ED7B5B" w:rsidP="00ED7B5B">
            <w:pPr>
              <w:widowControl/>
              <w:suppressAutoHyphens w:val="0"/>
              <w:spacing w:line="240" w:lineRule="auto"/>
              <w:rPr>
                <w:b/>
              </w:rPr>
            </w:pPr>
          </w:p>
        </w:tc>
        <w:tc>
          <w:tcPr>
            <w:tcW w:w="2268" w:type="dxa"/>
          </w:tcPr>
          <w:p w14:paraId="4EA9767E" w14:textId="2FDD416A" w:rsidR="00ED7B5B" w:rsidRDefault="00656C4A" w:rsidP="00FC138C">
            <w:pPr>
              <w:jc w:val="left"/>
            </w:pPr>
            <w:r>
              <w:t>Teavitamine projekti tegevustest läbi projekti interaktiivse kodulehe ja infovoldikute jagamise</w:t>
            </w:r>
          </w:p>
        </w:tc>
        <w:tc>
          <w:tcPr>
            <w:tcW w:w="3260" w:type="dxa"/>
          </w:tcPr>
          <w:p w14:paraId="5633A6E0" w14:textId="56235AD8" w:rsidR="00ED7B5B" w:rsidRPr="003A6960" w:rsidRDefault="00656C4A" w:rsidP="00FC138C">
            <w:pPr>
              <w:jc w:val="left"/>
            </w:pPr>
            <w:r>
              <w:t>Projekti tegevustest on teavitatud läbi kodulehe.</w:t>
            </w:r>
          </w:p>
        </w:tc>
        <w:tc>
          <w:tcPr>
            <w:tcW w:w="3544" w:type="dxa"/>
          </w:tcPr>
          <w:p w14:paraId="1695B6D2" w14:textId="76A0DC8A" w:rsidR="00ED7B5B" w:rsidRDefault="00656C4A" w:rsidP="0055057E">
            <w:pPr>
              <w:jc w:val="left"/>
            </w:pPr>
            <w:r>
              <w:t>Oleme kodulehel tõlkinud palju olulisi teateid ja uudiseid ka vene ja inglise keelde.</w:t>
            </w:r>
          </w:p>
        </w:tc>
      </w:tr>
    </w:tbl>
    <w:p w14:paraId="334E0DF0" w14:textId="77777777" w:rsidR="002A55D1" w:rsidRDefault="002A55D1" w:rsidP="002A55D1">
      <w:pPr>
        <w:rPr>
          <w:b/>
        </w:rPr>
      </w:pPr>
    </w:p>
    <w:p w14:paraId="72A1A58B" w14:textId="77777777" w:rsidR="003254F4" w:rsidRDefault="003254F4" w:rsidP="002A55D1">
      <w:pPr>
        <w:rPr>
          <w:b/>
        </w:rPr>
      </w:pPr>
    </w:p>
    <w:p w14:paraId="47A08D56" w14:textId="77777777" w:rsidR="00702042" w:rsidRDefault="00702042" w:rsidP="002A55D1">
      <w:pPr>
        <w:rPr>
          <w:b/>
        </w:rPr>
      </w:pPr>
    </w:p>
    <w:p w14:paraId="0DCC83FA" w14:textId="77777777" w:rsidR="003254F4" w:rsidRDefault="003254F4" w:rsidP="002A55D1">
      <w:pPr>
        <w:rPr>
          <w:b/>
        </w:rPr>
      </w:pPr>
    </w:p>
    <w:p w14:paraId="547981EF" w14:textId="77777777" w:rsidR="002A55D1" w:rsidRPr="002D3FA0" w:rsidRDefault="002A55D1" w:rsidP="002A55D1">
      <w:pPr>
        <w:autoSpaceDE w:val="0"/>
        <w:autoSpaceDN w:val="0"/>
        <w:adjustRightInd w:val="0"/>
        <w:rPr>
          <w:b/>
          <w:bCs/>
        </w:rPr>
      </w:pPr>
      <w:r>
        <w:rPr>
          <w:b/>
        </w:rPr>
        <w:lastRenderedPageBreak/>
        <w:t>2</w:t>
      </w:r>
      <w:r w:rsidRPr="002D3FA0">
        <w:rPr>
          <w:b/>
        </w:rPr>
        <w:t xml:space="preserve">. </w:t>
      </w:r>
      <w:r>
        <w:rPr>
          <w:b/>
          <w:bCs/>
        </w:rPr>
        <w:t>AMIF-i ühiste</w:t>
      </w:r>
      <w:r w:rsidRPr="002D3FA0">
        <w:rPr>
          <w:b/>
          <w:bCs/>
        </w:rPr>
        <w:t xml:space="preserve"> i</w:t>
      </w:r>
      <w:r>
        <w:rPr>
          <w:b/>
          <w:bCs/>
        </w:rPr>
        <w:t>ndikaatorite täitmine aruandlusperioodil</w:t>
      </w:r>
    </w:p>
    <w:p w14:paraId="547A8E2E" w14:textId="77777777" w:rsidR="002A55D1" w:rsidRDefault="002A55D1" w:rsidP="002A55D1">
      <w:pPr>
        <w:rPr>
          <w:b/>
        </w:rPr>
      </w:pPr>
    </w:p>
    <w:tbl>
      <w:tblPr>
        <w:tblStyle w:val="TableGrid"/>
        <w:tblW w:w="9606" w:type="dxa"/>
        <w:tblLayout w:type="fixed"/>
        <w:tblLook w:val="04A0" w:firstRow="1" w:lastRow="0" w:firstColumn="1" w:lastColumn="0" w:noHBand="0" w:noVBand="1"/>
      </w:tblPr>
      <w:tblGrid>
        <w:gridCol w:w="5778"/>
        <w:gridCol w:w="1418"/>
        <w:gridCol w:w="2410"/>
      </w:tblGrid>
      <w:tr w:rsidR="002A55D1" w:rsidRPr="00764535" w14:paraId="5FDBA796" w14:textId="77777777" w:rsidTr="00E17F4C">
        <w:trPr>
          <w:trHeight w:val="300"/>
        </w:trPr>
        <w:tc>
          <w:tcPr>
            <w:tcW w:w="5778" w:type="dxa"/>
            <w:noWrap/>
            <w:hideMark/>
          </w:tcPr>
          <w:p w14:paraId="7CAD6B2D" w14:textId="77777777" w:rsidR="002A55D1" w:rsidRPr="005436AA" w:rsidRDefault="002A55D1" w:rsidP="008342BA">
            <w:pPr>
              <w:jc w:val="left"/>
              <w:rPr>
                <w:b/>
                <w:bCs/>
                <w:color w:val="000000"/>
                <w:sz w:val="22"/>
                <w:szCs w:val="22"/>
                <w:lang w:eastAsia="et-EE"/>
              </w:rPr>
            </w:pPr>
            <w:r w:rsidRPr="005436AA">
              <w:rPr>
                <w:b/>
                <w:bCs/>
                <w:color w:val="000000"/>
                <w:sz w:val="22"/>
                <w:szCs w:val="22"/>
                <w:lang w:eastAsia="et-EE"/>
              </w:rPr>
              <w:t>VARJUPAIK</w:t>
            </w:r>
          </w:p>
        </w:tc>
        <w:tc>
          <w:tcPr>
            <w:tcW w:w="1418" w:type="dxa"/>
          </w:tcPr>
          <w:p w14:paraId="23F58FD7" w14:textId="4CC5D051" w:rsidR="002A55D1" w:rsidRPr="005436AA" w:rsidRDefault="00D5063F" w:rsidP="008342BA">
            <w:pPr>
              <w:jc w:val="center"/>
              <w:rPr>
                <w:b/>
                <w:bCs/>
                <w:color w:val="000000"/>
                <w:sz w:val="22"/>
                <w:szCs w:val="22"/>
                <w:lang w:eastAsia="et-EE"/>
              </w:rPr>
            </w:pPr>
            <w:r>
              <w:rPr>
                <w:b/>
                <w:bCs/>
                <w:color w:val="000000"/>
                <w:sz w:val="22"/>
                <w:szCs w:val="22"/>
                <w:lang w:eastAsia="et-EE"/>
              </w:rPr>
              <w:t>Siht</w:t>
            </w:r>
            <w:r w:rsidR="002A55D1" w:rsidRPr="005436AA">
              <w:rPr>
                <w:b/>
                <w:bCs/>
                <w:color w:val="000000"/>
                <w:sz w:val="22"/>
                <w:szCs w:val="22"/>
                <w:lang w:eastAsia="et-EE"/>
              </w:rPr>
              <w:t xml:space="preserve">tase </w:t>
            </w:r>
            <w:r w:rsidR="002A55D1" w:rsidRPr="005436AA">
              <w:rPr>
                <w:b/>
                <w:bCs/>
                <w:i/>
                <w:color w:val="000000"/>
                <w:sz w:val="16"/>
                <w:szCs w:val="16"/>
                <w:lang w:eastAsia="et-EE"/>
              </w:rPr>
              <w:t>(taotluses märgitud tase)</w:t>
            </w:r>
          </w:p>
        </w:tc>
        <w:tc>
          <w:tcPr>
            <w:tcW w:w="2410" w:type="dxa"/>
          </w:tcPr>
          <w:p w14:paraId="1E9BF390" w14:textId="52067E3B" w:rsidR="002A55D1" w:rsidRPr="005436AA" w:rsidRDefault="001D50CF" w:rsidP="008342BA">
            <w:pPr>
              <w:rPr>
                <w:b/>
                <w:bCs/>
                <w:color w:val="000000"/>
                <w:sz w:val="22"/>
                <w:szCs w:val="22"/>
                <w:lang w:eastAsia="et-EE"/>
              </w:rPr>
            </w:pPr>
            <w:r>
              <w:rPr>
                <w:b/>
                <w:bCs/>
                <w:color w:val="000000"/>
                <w:sz w:val="22"/>
                <w:szCs w:val="22"/>
                <w:lang w:eastAsia="et-EE"/>
              </w:rPr>
              <w:t>Täit</w:t>
            </w:r>
            <w:r w:rsidR="002A55D1" w:rsidRPr="005436AA">
              <w:rPr>
                <w:b/>
                <w:bCs/>
                <w:color w:val="000000"/>
                <w:sz w:val="22"/>
                <w:szCs w:val="22"/>
                <w:lang w:eastAsia="et-EE"/>
              </w:rPr>
              <w:t>mine</w:t>
            </w:r>
          </w:p>
        </w:tc>
      </w:tr>
      <w:tr w:rsidR="002A55D1" w:rsidRPr="00B14959" w14:paraId="793D9EBF" w14:textId="77777777" w:rsidTr="00E17F4C">
        <w:trPr>
          <w:trHeight w:val="406"/>
        </w:trPr>
        <w:tc>
          <w:tcPr>
            <w:tcW w:w="5778" w:type="dxa"/>
            <w:hideMark/>
          </w:tcPr>
          <w:p w14:paraId="08B92240" w14:textId="77777777" w:rsidR="002A55D1" w:rsidRPr="005436AA" w:rsidRDefault="002A55D1" w:rsidP="008342BA">
            <w:pPr>
              <w:jc w:val="left"/>
              <w:rPr>
                <w:color w:val="000000"/>
                <w:sz w:val="22"/>
                <w:szCs w:val="22"/>
                <w:lang w:eastAsia="et-EE"/>
              </w:rPr>
            </w:pPr>
            <w:r w:rsidRPr="005F4854">
              <w:rPr>
                <w:color w:val="000000"/>
                <w:lang w:eastAsia="et-EE"/>
              </w:rPr>
              <w:t>Sihtrüh</w:t>
            </w:r>
            <w:r>
              <w:rPr>
                <w:color w:val="000000"/>
                <w:lang w:eastAsia="et-EE"/>
              </w:rPr>
              <w:t>ma kuuluvate nende isikute arv, keda fondi toetusel abistati</w:t>
            </w:r>
            <w:r w:rsidRPr="005F4854">
              <w:rPr>
                <w:color w:val="000000"/>
                <w:lang w:eastAsia="et-EE"/>
              </w:rPr>
              <w:t xml:space="preserve">  </w:t>
            </w:r>
          </w:p>
        </w:tc>
        <w:tc>
          <w:tcPr>
            <w:tcW w:w="1418" w:type="dxa"/>
          </w:tcPr>
          <w:p w14:paraId="4163B549" w14:textId="6385BADF" w:rsidR="002A55D1" w:rsidRPr="005436AA" w:rsidRDefault="00DC2D52" w:rsidP="008342BA">
            <w:pPr>
              <w:jc w:val="left"/>
              <w:rPr>
                <w:color w:val="000000"/>
                <w:sz w:val="22"/>
                <w:szCs w:val="22"/>
                <w:lang w:eastAsia="et-EE"/>
              </w:rPr>
            </w:pPr>
            <w:r>
              <w:rPr>
                <w:color w:val="000000"/>
                <w:sz w:val="22"/>
                <w:szCs w:val="22"/>
                <w:lang w:eastAsia="et-EE"/>
              </w:rPr>
              <w:t>130</w:t>
            </w:r>
          </w:p>
        </w:tc>
        <w:tc>
          <w:tcPr>
            <w:tcW w:w="2410" w:type="dxa"/>
          </w:tcPr>
          <w:p w14:paraId="2F6CA0A4" w14:textId="77777777" w:rsidR="003F0679" w:rsidRDefault="003F0679" w:rsidP="008342BA">
            <w:pPr>
              <w:jc w:val="left"/>
              <w:rPr>
                <w:b/>
                <w:color w:val="000000"/>
                <w:sz w:val="22"/>
                <w:szCs w:val="22"/>
                <w:lang w:eastAsia="et-EE"/>
              </w:rPr>
            </w:pPr>
            <w:r>
              <w:rPr>
                <w:b/>
                <w:color w:val="000000"/>
                <w:sz w:val="22"/>
                <w:szCs w:val="22"/>
                <w:lang w:eastAsia="et-EE"/>
              </w:rPr>
              <w:t xml:space="preserve">65 </w:t>
            </w:r>
          </w:p>
          <w:p w14:paraId="292E88AA" w14:textId="755B8792" w:rsidR="002A55D1" w:rsidRPr="003F0679" w:rsidRDefault="003F0679" w:rsidP="008342BA">
            <w:pPr>
              <w:jc w:val="left"/>
              <w:rPr>
                <w:color w:val="000000"/>
                <w:sz w:val="22"/>
                <w:szCs w:val="22"/>
                <w:lang w:eastAsia="et-EE"/>
              </w:rPr>
            </w:pPr>
            <w:r w:rsidRPr="003F0679">
              <w:rPr>
                <w:color w:val="000000"/>
                <w:sz w:val="22"/>
                <w:szCs w:val="22"/>
                <w:lang w:eastAsia="et-EE"/>
              </w:rPr>
              <w:t>(5 varjupaigataotlejat + 60 kaitse saanud isikut)</w:t>
            </w:r>
          </w:p>
        </w:tc>
      </w:tr>
      <w:tr w:rsidR="002A55D1" w:rsidRPr="00B14959" w14:paraId="00378A71" w14:textId="77777777" w:rsidTr="00E17F4C">
        <w:trPr>
          <w:trHeight w:val="430"/>
        </w:trPr>
        <w:tc>
          <w:tcPr>
            <w:tcW w:w="5778" w:type="dxa"/>
            <w:hideMark/>
          </w:tcPr>
          <w:p w14:paraId="4C00000B" w14:textId="77777777" w:rsidR="002A55D1" w:rsidRPr="005436AA" w:rsidRDefault="002A55D1" w:rsidP="008342BA">
            <w:pPr>
              <w:jc w:val="left"/>
              <w:rPr>
                <w:color w:val="000000"/>
                <w:sz w:val="22"/>
                <w:szCs w:val="22"/>
                <w:lang w:eastAsia="et-EE"/>
              </w:rPr>
            </w:pPr>
            <w:r w:rsidRPr="005436AA">
              <w:rPr>
                <w:color w:val="000000"/>
                <w:sz w:val="22"/>
                <w:szCs w:val="22"/>
                <w:lang w:eastAsia="et-EE"/>
              </w:rPr>
              <w:t xml:space="preserve">Nende isikute arv, kes on saanud varjupaigaalast koolitust fondi toetusel </w:t>
            </w:r>
          </w:p>
        </w:tc>
        <w:tc>
          <w:tcPr>
            <w:tcW w:w="1418" w:type="dxa"/>
          </w:tcPr>
          <w:p w14:paraId="370E8D2C" w14:textId="1C5EED42" w:rsidR="002A55D1" w:rsidRPr="005436AA" w:rsidRDefault="00DC2D52" w:rsidP="008342BA">
            <w:pPr>
              <w:jc w:val="left"/>
              <w:rPr>
                <w:color w:val="000000"/>
                <w:sz w:val="22"/>
                <w:szCs w:val="22"/>
                <w:lang w:eastAsia="et-EE"/>
              </w:rPr>
            </w:pPr>
            <w:r>
              <w:rPr>
                <w:color w:val="000000"/>
                <w:sz w:val="22"/>
                <w:szCs w:val="22"/>
                <w:lang w:eastAsia="et-EE"/>
              </w:rPr>
              <w:t>15</w:t>
            </w:r>
          </w:p>
        </w:tc>
        <w:tc>
          <w:tcPr>
            <w:tcW w:w="2410" w:type="dxa"/>
          </w:tcPr>
          <w:p w14:paraId="444AAF65" w14:textId="68F41304" w:rsidR="002A55D1" w:rsidRPr="003F0679" w:rsidRDefault="000E2004" w:rsidP="008342BA">
            <w:pPr>
              <w:jc w:val="left"/>
              <w:rPr>
                <w:b/>
                <w:color w:val="000000"/>
                <w:sz w:val="22"/>
                <w:szCs w:val="22"/>
                <w:lang w:eastAsia="et-EE"/>
              </w:rPr>
            </w:pPr>
            <w:r w:rsidRPr="003F0679">
              <w:rPr>
                <w:b/>
                <w:color w:val="000000"/>
                <w:sz w:val="22"/>
                <w:szCs w:val="22"/>
                <w:lang w:eastAsia="et-EE"/>
              </w:rPr>
              <w:t>15</w:t>
            </w:r>
          </w:p>
        </w:tc>
      </w:tr>
      <w:tr w:rsidR="002A55D1" w:rsidRPr="00B14959" w14:paraId="5CE1C6C0" w14:textId="77777777" w:rsidTr="00E17F4C">
        <w:trPr>
          <w:trHeight w:val="415"/>
        </w:trPr>
        <w:tc>
          <w:tcPr>
            <w:tcW w:w="5778" w:type="dxa"/>
            <w:hideMark/>
          </w:tcPr>
          <w:p w14:paraId="6DC6AEDF" w14:textId="77777777" w:rsidR="002A55D1" w:rsidRPr="005436AA" w:rsidRDefault="002A55D1" w:rsidP="008342BA">
            <w:pPr>
              <w:jc w:val="left"/>
              <w:rPr>
                <w:color w:val="000000"/>
                <w:sz w:val="22"/>
                <w:szCs w:val="22"/>
                <w:lang w:eastAsia="et-EE"/>
              </w:rPr>
            </w:pPr>
            <w:r>
              <w:rPr>
                <w:rFonts w:eastAsia="MS Gothic"/>
                <w:color w:val="000000"/>
              </w:rPr>
              <w:t>Fondi toetusel renoveeritud ja/või loodud vastuvõtu majutuskohtade arv</w:t>
            </w:r>
          </w:p>
        </w:tc>
        <w:tc>
          <w:tcPr>
            <w:tcW w:w="1418" w:type="dxa"/>
          </w:tcPr>
          <w:p w14:paraId="7A2F8617" w14:textId="77777777" w:rsidR="002A55D1" w:rsidRPr="005436AA" w:rsidRDefault="002A55D1" w:rsidP="008342BA">
            <w:pPr>
              <w:jc w:val="left"/>
              <w:rPr>
                <w:rFonts w:eastAsia="MS Gothic"/>
                <w:color w:val="000000"/>
                <w:sz w:val="22"/>
                <w:szCs w:val="22"/>
                <w:lang w:eastAsia="et-EE"/>
              </w:rPr>
            </w:pPr>
          </w:p>
        </w:tc>
        <w:tc>
          <w:tcPr>
            <w:tcW w:w="2410" w:type="dxa"/>
          </w:tcPr>
          <w:p w14:paraId="0C3809EF" w14:textId="77777777" w:rsidR="002A55D1" w:rsidRPr="005436AA" w:rsidRDefault="002A55D1" w:rsidP="008342BA">
            <w:pPr>
              <w:jc w:val="left"/>
              <w:rPr>
                <w:rFonts w:eastAsia="MS Gothic"/>
                <w:color w:val="000000"/>
                <w:sz w:val="22"/>
                <w:szCs w:val="22"/>
                <w:lang w:eastAsia="et-EE"/>
              </w:rPr>
            </w:pPr>
          </w:p>
        </w:tc>
      </w:tr>
      <w:tr w:rsidR="002A55D1" w:rsidRPr="00B14959" w14:paraId="736B0703" w14:textId="77777777" w:rsidTr="00E17F4C">
        <w:trPr>
          <w:trHeight w:val="416"/>
        </w:trPr>
        <w:tc>
          <w:tcPr>
            <w:tcW w:w="5778" w:type="dxa"/>
          </w:tcPr>
          <w:p w14:paraId="5C92A50A" w14:textId="77777777" w:rsidR="002A55D1" w:rsidRDefault="002A55D1" w:rsidP="008342BA">
            <w:r w:rsidRPr="00E32A67">
              <w:rPr>
                <w:rFonts w:eastAsia="MS Gothic"/>
                <w:color w:val="000000"/>
              </w:rPr>
              <w:t>Fondi toetusel renoveeritud ja/või loodud majutuskohtade osakaal kogu vastuvõtu majutusvõimaluste mahutavusest (% m</w:t>
            </w:r>
            <w:r w:rsidRPr="00E32A67">
              <w:rPr>
                <w:rFonts w:eastAsia="MS Gothic"/>
                <w:color w:val="000000"/>
                <w:vertAlign w:val="superscript"/>
              </w:rPr>
              <w:t>2</w:t>
            </w:r>
            <w:r w:rsidRPr="00E32A67">
              <w:rPr>
                <w:rFonts w:eastAsia="MS Gothic"/>
                <w:color w:val="000000"/>
              </w:rPr>
              <w:t xml:space="preserve"> kohta)</w:t>
            </w:r>
          </w:p>
        </w:tc>
        <w:tc>
          <w:tcPr>
            <w:tcW w:w="1418" w:type="dxa"/>
          </w:tcPr>
          <w:p w14:paraId="00D2630D" w14:textId="77777777" w:rsidR="002A55D1" w:rsidRDefault="002A55D1" w:rsidP="008342BA"/>
        </w:tc>
        <w:tc>
          <w:tcPr>
            <w:tcW w:w="2410" w:type="dxa"/>
          </w:tcPr>
          <w:p w14:paraId="222EAB36" w14:textId="77777777" w:rsidR="002A55D1" w:rsidRDefault="002A55D1" w:rsidP="008342BA"/>
        </w:tc>
      </w:tr>
      <w:tr w:rsidR="002A55D1" w:rsidRPr="00B14959" w14:paraId="5DB9FCAA" w14:textId="77777777" w:rsidTr="00E17F4C">
        <w:trPr>
          <w:trHeight w:val="300"/>
        </w:trPr>
        <w:tc>
          <w:tcPr>
            <w:tcW w:w="5778" w:type="dxa"/>
            <w:hideMark/>
          </w:tcPr>
          <w:p w14:paraId="6BF905F8" w14:textId="77777777" w:rsidR="002A55D1" w:rsidRPr="005436AA" w:rsidRDefault="002A55D1" w:rsidP="008342BA">
            <w:pPr>
              <w:jc w:val="left"/>
              <w:rPr>
                <w:b/>
                <w:bCs/>
                <w:color w:val="000000"/>
                <w:sz w:val="22"/>
                <w:szCs w:val="22"/>
                <w:lang w:eastAsia="et-EE"/>
              </w:rPr>
            </w:pPr>
            <w:r w:rsidRPr="005436AA">
              <w:rPr>
                <w:b/>
                <w:bCs/>
                <w:color w:val="000000"/>
                <w:sz w:val="22"/>
                <w:szCs w:val="22"/>
                <w:lang w:eastAsia="et-EE"/>
              </w:rPr>
              <w:t>INTEGRATSIOON</w:t>
            </w:r>
          </w:p>
        </w:tc>
        <w:tc>
          <w:tcPr>
            <w:tcW w:w="1418" w:type="dxa"/>
          </w:tcPr>
          <w:p w14:paraId="4B66F7B3" w14:textId="77777777" w:rsidR="002A55D1" w:rsidRPr="005436AA" w:rsidRDefault="002A55D1" w:rsidP="008342BA">
            <w:pPr>
              <w:jc w:val="left"/>
              <w:rPr>
                <w:b/>
                <w:bCs/>
                <w:color w:val="000000"/>
                <w:sz w:val="22"/>
                <w:szCs w:val="22"/>
                <w:lang w:eastAsia="et-EE"/>
              </w:rPr>
            </w:pPr>
          </w:p>
        </w:tc>
        <w:tc>
          <w:tcPr>
            <w:tcW w:w="2410" w:type="dxa"/>
          </w:tcPr>
          <w:p w14:paraId="48396A90" w14:textId="77777777" w:rsidR="002A55D1" w:rsidRPr="005436AA" w:rsidRDefault="002A55D1" w:rsidP="008342BA">
            <w:pPr>
              <w:jc w:val="left"/>
              <w:rPr>
                <w:b/>
                <w:bCs/>
                <w:color w:val="000000"/>
                <w:sz w:val="22"/>
                <w:szCs w:val="22"/>
                <w:lang w:eastAsia="et-EE"/>
              </w:rPr>
            </w:pPr>
          </w:p>
        </w:tc>
      </w:tr>
      <w:tr w:rsidR="002A55D1" w:rsidRPr="00B14959" w14:paraId="080D8E2A" w14:textId="77777777" w:rsidTr="00E17F4C">
        <w:trPr>
          <w:trHeight w:val="238"/>
        </w:trPr>
        <w:tc>
          <w:tcPr>
            <w:tcW w:w="5778" w:type="dxa"/>
            <w:hideMark/>
          </w:tcPr>
          <w:p w14:paraId="431EE43E" w14:textId="77777777" w:rsidR="002A55D1" w:rsidRPr="005436AA" w:rsidRDefault="002A55D1" w:rsidP="008342BA">
            <w:pPr>
              <w:jc w:val="left"/>
              <w:rPr>
                <w:color w:val="000000"/>
                <w:sz w:val="22"/>
                <w:szCs w:val="22"/>
                <w:lang w:eastAsia="et-EE"/>
              </w:rPr>
            </w:pPr>
            <w:r w:rsidRPr="005436AA">
              <w:rPr>
                <w:color w:val="000000"/>
                <w:sz w:val="22"/>
                <w:szCs w:val="22"/>
                <w:lang w:eastAsia="et-EE"/>
              </w:rPr>
              <w:t>Sihtrühma kuuluvate nende isikute arv, keda fondi toetusel abistati</w:t>
            </w:r>
          </w:p>
        </w:tc>
        <w:tc>
          <w:tcPr>
            <w:tcW w:w="1418" w:type="dxa"/>
          </w:tcPr>
          <w:p w14:paraId="1326FA3D" w14:textId="77777777" w:rsidR="002A55D1" w:rsidRPr="005436AA" w:rsidRDefault="002A55D1" w:rsidP="008342BA">
            <w:pPr>
              <w:jc w:val="left"/>
              <w:rPr>
                <w:color w:val="000000"/>
                <w:sz w:val="22"/>
                <w:szCs w:val="22"/>
                <w:lang w:eastAsia="et-EE"/>
              </w:rPr>
            </w:pPr>
          </w:p>
        </w:tc>
        <w:tc>
          <w:tcPr>
            <w:tcW w:w="2410" w:type="dxa"/>
          </w:tcPr>
          <w:p w14:paraId="595AB639" w14:textId="77777777" w:rsidR="002A55D1" w:rsidRPr="005436AA" w:rsidRDefault="002A55D1" w:rsidP="008342BA">
            <w:pPr>
              <w:jc w:val="left"/>
              <w:rPr>
                <w:color w:val="000000"/>
                <w:sz w:val="22"/>
                <w:szCs w:val="22"/>
                <w:lang w:eastAsia="et-EE"/>
              </w:rPr>
            </w:pPr>
          </w:p>
        </w:tc>
      </w:tr>
      <w:tr w:rsidR="002A55D1" w:rsidRPr="00764535" w14:paraId="5DC49D30" w14:textId="77777777" w:rsidTr="00E17F4C">
        <w:trPr>
          <w:trHeight w:val="300"/>
        </w:trPr>
        <w:tc>
          <w:tcPr>
            <w:tcW w:w="5778" w:type="dxa"/>
            <w:hideMark/>
          </w:tcPr>
          <w:p w14:paraId="0B13927D" w14:textId="77777777" w:rsidR="002A55D1" w:rsidRPr="005436AA" w:rsidRDefault="002A55D1" w:rsidP="008342BA">
            <w:pPr>
              <w:jc w:val="left"/>
              <w:rPr>
                <w:b/>
                <w:bCs/>
                <w:color w:val="000000"/>
                <w:sz w:val="22"/>
                <w:szCs w:val="22"/>
                <w:lang w:eastAsia="et-EE"/>
              </w:rPr>
            </w:pPr>
            <w:r w:rsidRPr="005436AA">
              <w:rPr>
                <w:b/>
                <w:bCs/>
                <w:color w:val="000000"/>
                <w:sz w:val="22"/>
                <w:szCs w:val="22"/>
                <w:lang w:eastAsia="et-EE"/>
              </w:rPr>
              <w:t>TAGASI</w:t>
            </w:r>
            <w:r>
              <w:rPr>
                <w:b/>
                <w:bCs/>
                <w:color w:val="000000"/>
                <w:sz w:val="22"/>
                <w:szCs w:val="22"/>
                <w:lang w:eastAsia="et-EE"/>
              </w:rPr>
              <w:t>SAATMINE</w:t>
            </w:r>
          </w:p>
        </w:tc>
        <w:tc>
          <w:tcPr>
            <w:tcW w:w="1418" w:type="dxa"/>
          </w:tcPr>
          <w:p w14:paraId="08E785DA" w14:textId="77777777" w:rsidR="002A55D1" w:rsidRPr="005436AA" w:rsidRDefault="002A55D1" w:rsidP="008342BA">
            <w:pPr>
              <w:jc w:val="left"/>
              <w:rPr>
                <w:b/>
                <w:bCs/>
                <w:color w:val="000000"/>
                <w:sz w:val="22"/>
                <w:szCs w:val="22"/>
                <w:lang w:eastAsia="et-EE"/>
              </w:rPr>
            </w:pPr>
          </w:p>
        </w:tc>
        <w:tc>
          <w:tcPr>
            <w:tcW w:w="2410" w:type="dxa"/>
          </w:tcPr>
          <w:p w14:paraId="3506B7C4" w14:textId="77777777" w:rsidR="002A55D1" w:rsidRPr="005436AA" w:rsidRDefault="002A55D1" w:rsidP="008342BA">
            <w:pPr>
              <w:jc w:val="left"/>
              <w:rPr>
                <w:b/>
                <w:bCs/>
                <w:color w:val="000000"/>
                <w:sz w:val="22"/>
                <w:szCs w:val="22"/>
                <w:lang w:eastAsia="et-EE"/>
              </w:rPr>
            </w:pPr>
          </w:p>
        </w:tc>
      </w:tr>
      <w:tr w:rsidR="002A55D1" w:rsidRPr="00B14959" w14:paraId="7B9B2122" w14:textId="77777777" w:rsidTr="00E17F4C">
        <w:trPr>
          <w:trHeight w:val="375"/>
        </w:trPr>
        <w:tc>
          <w:tcPr>
            <w:tcW w:w="5778" w:type="dxa"/>
            <w:hideMark/>
          </w:tcPr>
          <w:p w14:paraId="5ACF231C" w14:textId="77777777" w:rsidR="002A55D1" w:rsidRPr="005436AA" w:rsidRDefault="002A55D1" w:rsidP="008342BA">
            <w:pPr>
              <w:jc w:val="left"/>
              <w:rPr>
                <w:color w:val="000000"/>
                <w:sz w:val="22"/>
                <w:szCs w:val="22"/>
                <w:lang w:eastAsia="et-EE"/>
              </w:rPr>
            </w:pPr>
            <w:r w:rsidRPr="005436AA">
              <w:rPr>
                <w:color w:val="000000"/>
                <w:sz w:val="22"/>
                <w:szCs w:val="22"/>
                <w:lang w:eastAsia="et-EE"/>
              </w:rPr>
              <w:t>Nende isikute arv, kes on saanud tagasisaatmisalast koolitust fondi toetusel</w:t>
            </w:r>
          </w:p>
        </w:tc>
        <w:tc>
          <w:tcPr>
            <w:tcW w:w="1418" w:type="dxa"/>
          </w:tcPr>
          <w:p w14:paraId="5782DFDB" w14:textId="77777777" w:rsidR="002A55D1" w:rsidRPr="005436AA" w:rsidRDefault="002A55D1" w:rsidP="008342BA">
            <w:pPr>
              <w:jc w:val="left"/>
              <w:rPr>
                <w:color w:val="000000"/>
                <w:sz w:val="22"/>
                <w:szCs w:val="22"/>
                <w:lang w:eastAsia="et-EE"/>
              </w:rPr>
            </w:pPr>
          </w:p>
        </w:tc>
        <w:tc>
          <w:tcPr>
            <w:tcW w:w="2410" w:type="dxa"/>
          </w:tcPr>
          <w:p w14:paraId="52D2C9F8" w14:textId="77777777" w:rsidR="002A55D1" w:rsidRPr="005436AA" w:rsidRDefault="002A55D1" w:rsidP="008342BA">
            <w:pPr>
              <w:jc w:val="left"/>
              <w:rPr>
                <w:color w:val="000000"/>
                <w:sz w:val="22"/>
                <w:szCs w:val="22"/>
                <w:lang w:eastAsia="et-EE"/>
              </w:rPr>
            </w:pPr>
          </w:p>
        </w:tc>
      </w:tr>
      <w:tr w:rsidR="002A55D1" w:rsidRPr="00B14959" w14:paraId="3314E8E5" w14:textId="77777777" w:rsidTr="00E17F4C">
        <w:trPr>
          <w:trHeight w:val="270"/>
        </w:trPr>
        <w:tc>
          <w:tcPr>
            <w:tcW w:w="5778" w:type="dxa"/>
            <w:hideMark/>
          </w:tcPr>
          <w:p w14:paraId="095300BA" w14:textId="77777777" w:rsidR="002A55D1" w:rsidRPr="005436AA" w:rsidRDefault="002A55D1" w:rsidP="008342BA">
            <w:pPr>
              <w:jc w:val="left"/>
              <w:rPr>
                <w:color w:val="000000"/>
                <w:sz w:val="22"/>
                <w:szCs w:val="22"/>
                <w:lang w:eastAsia="et-EE"/>
              </w:rPr>
            </w:pPr>
            <w:r w:rsidRPr="005436AA">
              <w:rPr>
                <w:color w:val="000000"/>
                <w:sz w:val="22"/>
                <w:szCs w:val="22"/>
                <w:lang w:eastAsia="et-EE"/>
              </w:rPr>
              <w:t xml:space="preserve">Nende </w:t>
            </w:r>
            <w:r>
              <w:rPr>
                <w:color w:val="000000"/>
                <w:sz w:val="22"/>
                <w:szCs w:val="22"/>
                <w:lang w:eastAsia="et-EE"/>
              </w:rPr>
              <w:t>isik</w:t>
            </w:r>
            <w:r w:rsidRPr="005436AA">
              <w:rPr>
                <w:color w:val="000000"/>
                <w:sz w:val="22"/>
                <w:szCs w:val="22"/>
                <w:lang w:eastAsia="et-EE"/>
              </w:rPr>
              <w:t>ute arv, ke</w:t>
            </w:r>
            <w:r>
              <w:rPr>
                <w:color w:val="000000"/>
                <w:sz w:val="22"/>
                <w:szCs w:val="22"/>
                <w:lang w:eastAsia="et-EE"/>
              </w:rPr>
              <w:t>llele pakuti</w:t>
            </w:r>
            <w:r w:rsidRPr="005436AA">
              <w:rPr>
                <w:color w:val="000000"/>
                <w:sz w:val="22"/>
                <w:szCs w:val="22"/>
                <w:lang w:eastAsia="et-EE"/>
              </w:rPr>
              <w:t xml:space="preserve"> </w:t>
            </w:r>
            <w:r>
              <w:rPr>
                <w:color w:val="000000"/>
                <w:sz w:val="22"/>
                <w:szCs w:val="22"/>
                <w:lang w:eastAsia="et-EE"/>
              </w:rPr>
              <w:t>tagasisaatmiseelset või -</w:t>
            </w:r>
            <w:r w:rsidRPr="005436AA">
              <w:rPr>
                <w:color w:val="000000"/>
                <w:sz w:val="22"/>
                <w:szCs w:val="22"/>
                <w:lang w:eastAsia="et-EE"/>
              </w:rPr>
              <w:t>järgset abi</w:t>
            </w:r>
          </w:p>
        </w:tc>
        <w:tc>
          <w:tcPr>
            <w:tcW w:w="1418" w:type="dxa"/>
          </w:tcPr>
          <w:p w14:paraId="504F9E49" w14:textId="77777777" w:rsidR="002A55D1" w:rsidRPr="005436AA" w:rsidRDefault="002A55D1" w:rsidP="008342BA">
            <w:pPr>
              <w:jc w:val="left"/>
              <w:rPr>
                <w:color w:val="000000"/>
                <w:sz w:val="22"/>
                <w:szCs w:val="22"/>
                <w:lang w:eastAsia="et-EE"/>
              </w:rPr>
            </w:pPr>
          </w:p>
        </w:tc>
        <w:tc>
          <w:tcPr>
            <w:tcW w:w="2410" w:type="dxa"/>
          </w:tcPr>
          <w:p w14:paraId="197831A3" w14:textId="77777777" w:rsidR="002A55D1" w:rsidRPr="005436AA" w:rsidRDefault="002A55D1" w:rsidP="008342BA">
            <w:pPr>
              <w:jc w:val="left"/>
              <w:rPr>
                <w:color w:val="000000"/>
                <w:sz w:val="22"/>
                <w:szCs w:val="22"/>
                <w:lang w:eastAsia="et-EE"/>
              </w:rPr>
            </w:pPr>
          </w:p>
        </w:tc>
      </w:tr>
      <w:tr w:rsidR="002A55D1" w:rsidRPr="00B14959" w14:paraId="3E76BB96" w14:textId="77777777" w:rsidTr="00E17F4C">
        <w:trPr>
          <w:trHeight w:val="288"/>
        </w:trPr>
        <w:tc>
          <w:tcPr>
            <w:tcW w:w="5778" w:type="dxa"/>
            <w:noWrap/>
            <w:hideMark/>
          </w:tcPr>
          <w:p w14:paraId="44377940" w14:textId="77777777" w:rsidR="002A55D1" w:rsidRPr="005436AA" w:rsidRDefault="002A55D1" w:rsidP="008342BA">
            <w:pPr>
              <w:rPr>
                <w:color w:val="000000"/>
                <w:sz w:val="22"/>
                <w:szCs w:val="22"/>
                <w:lang w:eastAsia="et-EE"/>
              </w:rPr>
            </w:pPr>
            <w:r>
              <w:rPr>
                <w:rFonts w:eastAsia="MS Gothic"/>
                <w:color w:val="000000"/>
                <w:sz w:val="22"/>
                <w:szCs w:val="22"/>
                <w:lang w:eastAsia="et-EE"/>
              </w:rPr>
              <w:t>Vabatahtlikult</w:t>
            </w:r>
            <w:r w:rsidRPr="005436AA">
              <w:rPr>
                <w:rFonts w:eastAsia="MS Gothic"/>
                <w:color w:val="000000"/>
                <w:sz w:val="22"/>
                <w:szCs w:val="22"/>
                <w:lang w:eastAsia="et-EE"/>
              </w:rPr>
              <w:t xml:space="preserve"> tagasipöördu</w:t>
            </w:r>
            <w:r>
              <w:rPr>
                <w:rFonts w:eastAsia="MS Gothic"/>
                <w:color w:val="000000"/>
                <w:sz w:val="22"/>
                <w:szCs w:val="22"/>
                <w:lang w:eastAsia="et-EE"/>
              </w:rPr>
              <w:t>nud isikute arv</w:t>
            </w:r>
          </w:p>
        </w:tc>
        <w:tc>
          <w:tcPr>
            <w:tcW w:w="1418" w:type="dxa"/>
          </w:tcPr>
          <w:p w14:paraId="1F3360D9" w14:textId="77777777" w:rsidR="002A55D1" w:rsidRPr="005436AA" w:rsidRDefault="002A55D1" w:rsidP="008342BA">
            <w:pPr>
              <w:rPr>
                <w:rFonts w:eastAsia="MS Gothic"/>
                <w:color w:val="000000"/>
                <w:sz w:val="22"/>
                <w:szCs w:val="22"/>
                <w:lang w:eastAsia="et-EE"/>
              </w:rPr>
            </w:pPr>
          </w:p>
        </w:tc>
        <w:tc>
          <w:tcPr>
            <w:tcW w:w="2410" w:type="dxa"/>
          </w:tcPr>
          <w:p w14:paraId="11171B15" w14:textId="77777777" w:rsidR="002A55D1" w:rsidRPr="005436AA" w:rsidRDefault="002A55D1" w:rsidP="008342BA">
            <w:pPr>
              <w:rPr>
                <w:rFonts w:eastAsia="MS Gothic"/>
                <w:color w:val="000000"/>
                <w:sz w:val="22"/>
                <w:szCs w:val="22"/>
                <w:lang w:eastAsia="et-EE"/>
              </w:rPr>
            </w:pPr>
          </w:p>
        </w:tc>
      </w:tr>
      <w:tr w:rsidR="002A55D1" w:rsidRPr="00B14959" w14:paraId="311405A0" w14:textId="77777777" w:rsidTr="00E17F4C">
        <w:trPr>
          <w:trHeight w:val="283"/>
        </w:trPr>
        <w:tc>
          <w:tcPr>
            <w:tcW w:w="5778" w:type="dxa"/>
            <w:noWrap/>
            <w:hideMark/>
          </w:tcPr>
          <w:p w14:paraId="6C0743DA" w14:textId="77777777" w:rsidR="002A55D1" w:rsidRPr="005436AA" w:rsidRDefault="002A55D1" w:rsidP="008342BA">
            <w:pPr>
              <w:rPr>
                <w:color w:val="000000"/>
                <w:sz w:val="22"/>
                <w:szCs w:val="22"/>
                <w:lang w:eastAsia="et-EE"/>
              </w:rPr>
            </w:pPr>
            <w:r>
              <w:rPr>
                <w:rFonts w:eastAsia="MS Gothic"/>
                <w:color w:val="000000"/>
                <w:sz w:val="22"/>
                <w:szCs w:val="22"/>
                <w:lang w:eastAsia="et-EE"/>
              </w:rPr>
              <w:t>Väljasaadetud isikute arv</w:t>
            </w:r>
            <w:r w:rsidRPr="005436AA">
              <w:rPr>
                <w:color w:val="000000"/>
                <w:sz w:val="22"/>
                <w:szCs w:val="22"/>
                <w:lang w:eastAsia="et-EE"/>
              </w:rPr>
              <w:t xml:space="preserve"> </w:t>
            </w:r>
          </w:p>
        </w:tc>
        <w:tc>
          <w:tcPr>
            <w:tcW w:w="1418" w:type="dxa"/>
          </w:tcPr>
          <w:p w14:paraId="6DC304A5" w14:textId="77777777" w:rsidR="002A55D1" w:rsidRPr="005436AA" w:rsidRDefault="002A55D1" w:rsidP="008342BA">
            <w:pPr>
              <w:rPr>
                <w:color w:val="000000"/>
                <w:sz w:val="22"/>
                <w:szCs w:val="22"/>
                <w:lang w:eastAsia="et-EE"/>
              </w:rPr>
            </w:pPr>
          </w:p>
        </w:tc>
        <w:tc>
          <w:tcPr>
            <w:tcW w:w="2410" w:type="dxa"/>
          </w:tcPr>
          <w:p w14:paraId="6D9610EB" w14:textId="77777777" w:rsidR="002A55D1" w:rsidRPr="005436AA" w:rsidRDefault="002A55D1" w:rsidP="008342BA">
            <w:pPr>
              <w:rPr>
                <w:color w:val="000000"/>
                <w:sz w:val="22"/>
                <w:szCs w:val="22"/>
                <w:lang w:eastAsia="et-EE"/>
              </w:rPr>
            </w:pPr>
          </w:p>
        </w:tc>
      </w:tr>
      <w:tr w:rsidR="002A55D1" w:rsidRPr="00B14959" w14:paraId="1B911365" w14:textId="77777777" w:rsidTr="00E17F4C">
        <w:trPr>
          <w:trHeight w:val="415"/>
        </w:trPr>
        <w:tc>
          <w:tcPr>
            <w:tcW w:w="5778" w:type="dxa"/>
            <w:hideMark/>
          </w:tcPr>
          <w:p w14:paraId="6828A782" w14:textId="77777777" w:rsidR="002A55D1" w:rsidRPr="005436AA" w:rsidRDefault="002A55D1" w:rsidP="008342BA">
            <w:pPr>
              <w:jc w:val="left"/>
              <w:rPr>
                <w:color w:val="000000"/>
                <w:sz w:val="22"/>
                <w:szCs w:val="22"/>
                <w:lang w:eastAsia="et-EE"/>
              </w:rPr>
            </w:pPr>
            <w:r>
              <w:rPr>
                <w:color w:val="000000"/>
                <w:sz w:val="22"/>
                <w:szCs w:val="22"/>
                <w:lang w:eastAsia="et-EE"/>
              </w:rPr>
              <w:t>Väljasaatmiste vaatluste arv</w:t>
            </w:r>
          </w:p>
        </w:tc>
        <w:tc>
          <w:tcPr>
            <w:tcW w:w="1418" w:type="dxa"/>
          </w:tcPr>
          <w:p w14:paraId="7AAF2501" w14:textId="77777777" w:rsidR="002A55D1" w:rsidRPr="005436AA" w:rsidRDefault="002A55D1" w:rsidP="008342BA">
            <w:pPr>
              <w:jc w:val="left"/>
              <w:rPr>
                <w:color w:val="000000"/>
                <w:sz w:val="22"/>
                <w:szCs w:val="22"/>
                <w:lang w:eastAsia="et-EE"/>
              </w:rPr>
            </w:pPr>
          </w:p>
        </w:tc>
        <w:tc>
          <w:tcPr>
            <w:tcW w:w="2410" w:type="dxa"/>
          </w:tcPr>
          <w:p w14:paraId="2C2B7E17" w14:textId="77777777" w:rsidR="002A55D1" w:rsidRPr="005436AA" w:rsidRDefault="002A55D1" w:rsidP="008342BA">
            <w:pPr>
              <w:jc w:val="left"/>
              <w:rPr>
                <w:color w:val="000000"/>
                <w:sz w:val="22"/>
                <w:szCs w:val="22"/>
                <w:lang w:eastAsia="et-EE"/>
              </w:rPr>
            </w:pPr>
          </w:p>
        </w:tc>
      </w:tr>
    </w:tbl>
    <w:p w14:paraId="27A1D7C5" w14:textId="77777777" w:rsidR="002A55D1" w:rsidRDefault="002A55D1" w:rsidP="002A55D1">
      <w:pPr>
        <w:rPr>
          <w:b/>
        </w:rPr>
      </w:pPr>
    </w:p>
    <w:p w14:paraId="7C870169" w14:textId="77777777" w:rsidR="003254F4" w:rsidRDefault="003254F4" w:rsidP="002A55D1">
      <w:pPr>
        <w:ind w:right="481"/>
        <w:rPr>
          <w:b/>
        </w:rPr>
      </w:pPr>
    </w:p>
    <w:p w14:paraId="06DF5E63" w14:textId="77777777" w:rsidR="002A55D1" w:rsidRDefault="002A55D1" w:rsidP="002A55D1">
      <w:pPr>
        <w:ind w:right="481"/>
        <w:rPr>
          <w:b/>
        </w:rPr>
      </w:pPr>
      <w:r>
        <w:rPr>
          <w:b/>
        </w:rPr>
        <w:t xml:space="preserve">3. Analüüs ning hinnang projekti tegevustele ja eesmärkide saavutamisele aruandlusperioodil </w:t>
      </w:r>
      <w:r w:rsidRPr="000D2C5E">
        <w:rPr>
          <w:b/>
          <w:i/>
          <w:sz w:val="20"/>
        </w:rPr>
        <w:t>(</w:t>
      </w:r>
      <w:r>
        <w:rPr>
          <w:b/>
          <w:i/>
          <w:sz w:val="20"/>
        </w:rPr>
        <w:t>K</w:t>
      </w:r>
      <w:r w:rsidRPr="000D2C5E">
        <w:rPr>
          <w:b/>
          <w:i/>
          <w:sz w:val="20"/>
        </w:rPr>
        <w:t>ui kohaldub, põhjend</w:t>
      </w:r>
      <w:r>
        <w:rPr>
          <w:b/>
          <w:i/>
          <w:sz w:val="20"/>
        </w:rPr>
        <w:t>ada</w:t>
      </w:r>
      <w:r w:rsidRPr="000D2C5E">
        <w:rPr>
          <w:b/>
          <w:i/>
          <w:sz w:val="20"/>
        </w:rPr>
        <w:t xml:space="preserve"> planeeritud ja tegelike tulemuste </w:t>
      </w:r>
      <w:r>
        <w:rPr>
          <w:b/>
          <w:i/>
          <w:sz w:val="20"/>
        </w:rPr>
        <w:t>erinevusi</w:t>
      </w:r>
      <w:r w:rsidRPr="000D2C5E">
        <w:rPr>
          <w:b/>
          <w:i/>
          <w:sz w:val="20"/>
        </w:rPr>
        <w:t xml:space="preserve">, </w:t>
      </w:r>
      <w:r>
        <w:rPr>
          <w:b/>
          <w:i/>
          <w:sz w:val="20"/>
        </w:rPr>
        <w:t xml:space="preserve">muudatusi </w:t>
      </w:r>
      <w:r w:rsidRPr="000D2C5E">
        <w:rPr>
          <w:b/>
          <w:i/>
          <w:sz w:val="20"/>
        </w:rPr>
        <w:t>kulude arvestamise</w:t>
      </w:r>
      <w:r>
        <w:rPr>
          <w:b/>
          <w:i/>
          <w:sz w:val="20"/>
        </w:rPr>
        <w:t xml:space="preserve">l </w:t>
      </w:r>
      <w:r w:rsidRPr="000D2C5E">
        <w:rPr>
          <w:b/>
          <w:i/>
          <w:sz w:val="20"/>
        </w:rPr>
        <w:t>ja juhtimissüsteemi</w:t>
      </w:r>
      <w:r>
        <w:rPr>
          <w:b/>
          <w:i/>
          <w:sz w:val="20"/>
        </w:rPr>
        <w:t>s.</w:t>
      </w:r>
      <w:r w:rsidRPr="000D2C5E">
        <w:rPr>
          <w:b/>
          <w:i/>
          <w:sz w:val="20"/>
        </w:rPr>
        <w:t>)</w:t>
      </w:r>
      <w:bookmarkStart w:id="2" w:name="_GoBack"/>
      <w:bookmarkEnd w:id="2"/>
    </w:p>
    <w:p w14:paraId="4234A9D2" w14:textId="77777777" w:rsidR="002A55D1" w:rsidRDefault="002A55D1" w:rsidP="002A55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A55D1" w:rsidRPr="00BD602E" w14:paraId="390C71C0" w14:textId="77777777" w:rsidTr="001D50CF">
        <w:trPr>
          <w:trHeight w:val="840"/>
        </w:trPr>
        <w:tc>
          <w:tcPr>
            <w:tcW w:w="9606" w:type="dxa"/>
          </w:tcPr>
          <w:p w14:paraId="7963BD6B" w14:textId="1D50A079" w:rsidR="002A55D1" w:rsidRDefault="00D5063F" w:rsidP="008342BA">
            <w:r>
              <w:t>Projekti elluviimine on toimunud edukalt: perioodil 01.07</w:t>
            </w:r>
            <w:r w:rsidR="005A45DA">
              <w:t xml:space="preserve">. - </w:t>
            </w:r>
            <w:r>
              <w:t xml:space="preserve">31.12.2015 </w:t>
            </w:r>
            <w:r w:rsidR="008B4ABA">
              <w:t xml:space="preserve">ehk 6 kuu jooksul </w:t>
            </w:r>
            <w:r>
              <w:t>on abistatud juba rohkem kui</w:t>
            </w:r>
            <w:r w:rsidR="008B4ABA">
              <w:t xml:space="preserve"> 60 sihtgrupi liiget (</w:t>
            </w:r>
            <w:r>
              <w:t xml:space="preserve">projekti taotluses nägime 3-aastase projekti jooksul abistatavate koguhulga numbriks 130). </w:t>
            </w:r>
            <w:r w:rsidR="003923A1">
              <w:t>A</w:t>
            </w:r>
            <w:r w:rsidR="00F65B40">
              <w:t xml:space="preserve">ruandluse perioodil on (lepingulist) tööd teinud 15 </w:t>
            </w:r>
            <w:commentRangeStart w:id="3"/>
            <w:r w:rsidR="00F65B40">
              <w:t>tugiisikut</w:t>
            </w:r>
            <w:commentRangeEnd w:id="3"/>
            <w:r w:rsidR="00A36066">
              <w:rPr>
                <w:rStyle w:val="CommentReference"/>
                <w:rFonts w:cs="Mangal"/>
              </w:rPr>
              <w:commentReference w:id="3"/>
            </w:r>
            <w:r w:rsidR="00F65B40">
              <w:t>.</w:t>
            </w:r>
            <w:r w:rsidR="003923A1">
              <w:t xml:space="preserve"> </w:t>
            </w:r>
            <w:r w:rsidR="005A45DA">
              <w:t>Tugiisikuteenuse kvaliteedi parandamiseks tahame kasutusele võtta regulaarse tagasisidestamise klientidelt ja meie partneritelt (Vao keskus, KOV-ide sotsiaalabiosakonnad, Töötukassa). Oleme välja töötanud küsimustiku ning saame anda kvaliteedi kohta rohkem kvantitatiivset infot projekti II vahearuande esitamisel.</w:t>
            </w:r>
          </w:p>
          <w:p w14:paraId="7E23F992" w14:textId="77777777" w:rsidR="00CD5E59" w:rsidRDefault="00CD5E59" w:rsidP="008342BA"/>
          <w:p w14:paraId="2D70E1CC" w14:textId="690DBCBE" w:rsidR="005A45DA" w:rsidRDefault="005A45DA" w:rsidP="008342BA">
            <w:r>
              <w:t xml:space="preserve">Tugiisikutöö </w:t>
            </w:r>
            <w:r w:rsidR="00493722">
              <w:t xml:space="preserve">täpse kvaliteedi hindamiseks peaksid olema eraldi mõõdikud (psühholoogilise stressi </w:t>
            </w:r>
            <w:r w:rsidR="00405CF4">
              <w:t xml:space="preserve">maandamine, suhtlusoskuse tõus jm). </w:t>
            </w:r>
            <w:r>
              <w:t xml:space="preserve">Peale tagasisidestamise on esimeseks allikaks tugiisikute aruanded, kus on detailselt kirjas millist tööd on kliendiga tehtud, millega abistatud. </w:t>
            </w:r>
            <w:r w:rsidR="00043DAE">
              <w:t>Seoses CARe metoodika kasutuselevõtuga oleme plaaninud ka hakata kasutama klientide puhul 6 kuulisi tegevusplaane, kus oleks kirjas töö eesmärgid ja vajalikud tegevused nendeni jõudmiseks.</w:t>
            </w:r>
            <w:r w:rsidR="000367F7">
              <w:t xml:space="preserve"> </w:t>
            </w:r>
            <w:r w:rsidR="00CD5E59">
              <w:t xml:space="preserve"> </w:t>
            </w:r>
          </w:p>
          <w:p w14:paraId="48A7B2EF" w14:textId="77777777" w:rsidR="006947DB" w:rsidRDefault="006947DB" w:rsidP="008342BA"/>
          <w:p w14:paraId="2ED07890" w14:textId="0ECCC519" w:rsidR="002A55D1" w:rsidRDefault="008B4ABA" w:rsidP="008342BA">
            <w:r>
              <w:t xml:space="preserve">Sihtgrupi liikmete arv on tõusnud 2015.aastal ning seetõttu toimus ka tugiisikute uus baaskoolitus, millega koolitati </w:t>
            </w:r>
            <w:r w:rsidR="006947DB">
              <w:t xml:space="preserve">septembris-oktoobris </w:t>
            </w:r>
            <w:r>
              <w:t xml:space="preserve">juurde 15 uut tugiisikut. </w:t>
            </w:r>
            <w:r w:rsidR="006947DB">
              <w:t>Neist 6 on asu</w:t>
            </w:r>
            <w:r w:rsidR="00405CF4">
              <w:t xml:space="preserve">nud alates novembrist ka </w:t>
            </w:r>
            <w:commentRangeStart w:id="4"/>
            <w:r w:rsidR="00405CF4">
              <w:t>tööle</w:t>
            </w:r>
            <w:commentRangeEnd w:id="4"/>
            <w:r w:rsidR="00A36066">
              <w:rPr>
                <w:rStyle w:val="CommentReference"/>
                <w:rFonts w:cs="Mangal"/>
              </w:rPr>
              <w:commentReference w:id="4"/>
            </w:r>
            <w:r w:rsidR="00405CF4">
              <w:t xml:space="preserve">. </w:t>
            </w:r>
            <w:proofErr w:type="spellStart"/>
            <w:r w:rsidR="006947DB">
              <w:t>Superviisori</w:t>
            </w:r>
            <w:proofErr w:type="spellEnd"/>
            <w:r w:rsidR="006947DB">
              <w:t xml:space="preserve"> Triin Vana abiga on üle mindud CARe metoodika kasutusele, mis samas ei ole lihtne kuna nõuab tegevusplaani olemasolu. Oleme endiselt ajafaasis, kus me hindame kas tegevusplaani koostamine (tugiisiku ja kliendi poolt) on kohustuslik või toimub see ainult vajadusel. Üheks selle põhjuseks on ka koostöökohtumiste algus Tartu linnaga</w:t>
            </w:r>
            <w:r w:rsidR="00DE7B97">
              <w:t>, millega kohalik sotsiaalabiosakond võttis endale ülesande hakata linnapoolseks juhtumikorraldajaks (toimetulekutoetust saavate) rahvusvahelise kaitse saanud isikute osas. See omakorda toob kaasa juhtumiplaani koostamise. Nii et klientide tegevusplaanide ko</w:t>
            </w:r>
            <w:r w:rsidR="005A45DA">
              <w:t>ostamine vajab veel arutelu (milline asutus</w:t>
            </w:r>
            <w:r w:rsidR="00DE7B97">
              <w:t xml:space="preserve"> ja kuidas seda teeb) ning seda arutletakse 2016.a I </w:t>
            </w:r>
            <w:r w:rsidR="00DE7B97">
              <w:lastRenderedPageBreak/>
              <w:t xml:space="preserve">poolel koos Tartu LV-ga. Sama süsteemi tahame käima lükata ka Tallinna nende linnaosadega kus JMK kliendid sotsiaaltöötajatega rohkem kokku puutuvad. </w:t>
            </w:r>
          </w:p>
          <w:p w14:paraId="0EADE689" w14:textId="77777777" w:rsidR="005A45DA" w:rsidRDefault="005A45DA" w:rsidP="008342BA"/>
          <w:p w14:paraId="0266B3CD" w14:textId="4557FB24" w:rsidR="00806FB2" w:rsidRPr="00DE7B97" w:rsidRDefault="005A45DA" w:rsidP="008342BA">
            <w:r>
              <w:t xml:space="preserve">Veidi on tekitanud probleemi araabia keele tõlkide vähesus Tartus ning ühe meie kauaaegse tõlgi lahkumine Eestist novembrist ent samas oleme tänaseks leidnud ka asendaja. </w:t>
            </w:r>
          </w:p>
        </w:tc>
      </w:tr>
    </w:tbl>
    <w:p w14:paraId="2D74A806" w14:textId="77777777" w:rsidR="002A55D1" w:rsidRDefault="002A55D1" w:rsidP="002A55D1">
      <w:pPr>
        <w:rPr>
          <w:b/>
        </w:rPr>
      </w:pPr>
    </w:p>
    <w:p w14:paraId="7A1D8D55" w14:textId="77777777" w:rsidR="003254F4" w:rsidRDefault="003254F4" w:rsidP="002A55D1">
      <w:pPr>
        <w:ind w:right="481"/>
        <w:rPr>
          <w:b/>
        </w:rPr>
      </w:pPr>
    </w:p>
    <w:p w14:paraId="6F5EAD6B" w14:textId="77777777" w:rsidR="002A55D1" w:rsidRPr="00AF17F3" w:rsidRDefault="002A55D1" w:rsidP="002A55D1">
      <w:pPr>
        <w:ind w:right="481"/>
        <w:rPr>
          <w:b/>
        </w:rPr>
      </w:pPr>
      <w:r>
        <w:rPr>
          <w:b/>
        </w:rPr>
        <w:t xml:space="preserve">4. Teave ja avalikustamine: läbiviidud tegevused </w:t>
      </w:r>
      <w:r w:rsidRPr="00AF17F3">
        <w:rPr>
          <w:b/>
          <w:i/>
          <w:sz w:val="20"/>
        </w:rPr>
        <w:t>(Üksikasjalik kirjeldus, kuidas tagati nähtavus ministeeriumi ja AMIF</w:t>
      </w:r>
      <w:r>
        <w:rPr>
          <w:b/>
          <w:i/>
          <w:sz w:val="20"/>
        </w:rPr>
        <w:t>-i</w:t>
      </w:r>
      <w:r w:rsidRPr="00AF17F3">
        <w:rPr>
          <w:b/>
          <w:i/>
          <w:sz w:val="20"/>
        </w:rPr>
        <w:t xml:space="preserve"> kaasrahastamisele. Aruandele tuleb lisada kõigi projekti kohta avaldatud ja projekti käigus valminud materjalide jms koopiad.)</w:t>
      </w:r>
      <w:r w:rsidRPr="00AF17F3">
        <w:rPr>
          <w:b/>
        </w:rPr>
        <w:t xml:space="preserve"> </w:t>
      </w:r>
    </w:p>
    <w:p w14:paraId="1E2FC767" w14:textId="77777777" w:rsidR="002A55D1" w:rsidRDefault="002A55D1" w:rsidP="002A55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A55D1" w:rsidRPr="00BD602E" w14:paraId="678B5FAD" w14:textId="77777777" w:rsidTr="001D50CF">
        <w:tc>
          <w:tcPr>
            <w:tcW w:w="9606" w:type="dxa"/>
          </w:tcPr>
          <w:p w14:paraId="116AB2BF" w14:textId="59124C79" w:rsidR="002A55D1" w:rsidRDefault="00806FB2" w:rsidP="008342BA">
            <w:r>
              <w:t>Projekti tutvustades (ka</w:t>
            </w:r>
            <w:r w:rsidR="006C2C69">
              <w:t>s suuliselt või kirjalikult) on</w:t>
            </w:r>
            <w:r w:rsidR="007A60C1">
              <w:t xml:space="preserve"> </w:t>
            </w:r>
            <w:r>
              <w:t xml:space="preserve">lisatud, et tegu on AMIF-i ja Siseministeeriumi poolt rahastatud projektiga. </w:t>
            </w:r>
          </w:p>
          <w:p w14:paraId="1499B397" w14:textId="242DF05C" w:rsidR="007A60C1" w:rsidRPr="003923A1" w:rsidRDefault="007A60C1" w:rsidP="008342BA"/>
        </w:tc>
      </w:tr>
    </w:tbl>
    <w:p w14:paraId="68E2560C" w14:textId="77777777" w:rsidR="002A55D1" w:rsidRDefault="002A55D1" w:rsidP="002A55D1">
      <w:pPr>
        <w:rPr>
          <w:b/>
        </w:rPr>
      </w:pPr>
    </w:p>
    <w:p w14:paraId="01E5752D" w14:textId="77777777" w:rsidR="00CD5E59" w:rsidRDefault="00CD5E59" w:rsidP="002A55D1">
      <w:pPr>
        <w:rPr>
          <w:b/>
        </w:rPr>
      </w:pPr>
    </w:p>
    <w:p w14:paraId="3D999805" w14:textId="77777777" w:rsidR="002A55D1" w:rsidRPr="00DE3A26" w:rsidRDefault="002A55D1" w:rsidP="002A55D1">
      <w:pPr>
        <w:rPr>
          <w:b/>
        </w:rPr>
      </w:pPr>
      <w:r w:rsidRPr="00DE3A26">
        <w:rPr>
          <w:b/>
        </w:rPr>
        <w:t>Kinnitan, et kõik käesolevas aruandes esitatud andmed on õiged.</w:t>
      </w:r>
    </w:p>
    <w:p w14:paraId="4869DD7E" w14:textId="77777777" w:rsidR="002A55D1" w:rsidRDefault="002A55D1" w:rsidP="002A55D1">
      <w:pPr>
        <w:rPr>
          <w:b/>
        </w:rPr>
      </w:pPr>
    </w:p>
    <w:p w14:paraId="5EB547F7" w14:textId="77777777" w:rsidR="006C2C69" w:rsidRDefault="006C2C69" w:rsidP="002A55D1">
      <w:pPr>
        <w:rPr>
          <w:b/>
        </w:rPr>
      </w:pPr>
    </w:p>
    <w:p w14:paraId="20631746" w14:textId="77777777" w:rsidR="002A55D1" w:rsidRPr="006C2C69" w:rsidRDefault="002A55D1" w:rsidP="002A55D1">
      <w:pPr>
        <w:rPr>
          <w:b/>
        </w:rPr>
      </w:pPr>
      <w:r w:rsidRPr="006C2C69">
        <w:rPr>
          <w:b/>
        </w:rPr>
        <w:t>Koostaja:</w:t>
      </w:r>
    </w:p>
    <w:p w14:paraId="782F90A5" w14:textId="77777777" w:rsidR="000B291D" w:rsidRDefault="000B291D" w:rsidP="002A55D1"/>
    <w:p w14:paraId="14808C82" w14:textId="6EC32EEF" w:rsidR="002A55D1" w:rsidRDefault="00FF4364" w:rsidP="002A55D1">
      <w:pPr>
        <w:rPr>
          <w:i/>
        </w:rPr>
      </w:pPr>
      <w:r>
        <w:rPr>
          <w:i/>
        </w:rPr>
        <w:t>Juhan Saharov</w:t>
      </w:r>
    </w:p>
    <w:p w14:paraId="229B13EC" w14:textId="7C6820A3" w:rsidR="002A55D1" w:rsidRPr="00DE3A26" w:rsidRDefault="00FF4364" w:rsidP="002A55D1">
      <w:pPr>
        <w:rPr>
          <w:i/>
        </w:rPr>
      </w:pPr>
      <w:r>
        <w:rPr>
          <w:i/>
        </w:rPr>
        <w:t>projektijuht</w:t>
      </w:r>
    </w:p>
    <w:p w14:paraId="3257FD28" w14:textId="3C546515" w:rsidR="002A55D1" w:rsidRDefault="002A55D1" w:rsidP="002A55D1">
      <w:pPr>
        <w:rPr>
          <w:i/>
        </w:rPr>
      </w:pPr>
    </w:p>
    <w:p w14:paraId="7497B8C0" w14:textId="2E0C91F4" w:rsidR="002A55D1" w:rsidRDefault="006C2C69" w:rsidP="002A55D1">
      <w:pPr>
        <w:rPr>
          <w:i/>
        </w:rPr>
      </w:pPr>
      <w:r>
        <w:rPr>
          <w:i/>
        </w:rPr>
        <w:t>/allkirjastatud digitaalselt/</w:t>
      </w:r>
    </w:p>
    <w:p w14:paraId="166EF097" w14:textId="5C4B07FC" w:rsidR="002A55D1" w:rsidRPr="008070D5" w:rsidRDefault="002A55D1" w:rsidP="002A55D1">
      <w:pPr>
        <w:rPr>
          <w:i/>
        </w:rPr>
      </w:pPr>
      <w:r>
        <w:tab/>
      </w:r>
    </w:p>
    <w:p w14:paraId="391080CD" w14:textId="77777777" w:rsidR="002A55D1" w:rsidRDefault="002A55D1" w:rsidP="002A55D1">
      <w:r>
        <w:tab/>
      </w:r>
    </w:p>
    <w:p w14:paraId="492A0CA8" w14:textId="77777777" w:rsidR="002A55D1" w:rsidRDefault="002A55D1" w:rsidP="002A55D1"/>
    <w:p w14:paraId="6D345275" w14:textId="63813D48" w:rsidR="002A55D1" w:rsidRPr="006C2C69" w:rsidRDefault="002A55D1" w:rsidP="002A55D1">
      <w:pPr>
        <w:rPr>
          <w:b/>
        </w:rPr>
      </w:pPr>
      <w:r w:rsidRPr="006C2C69">
        <w:rPr>
          <w:b/>
        </w:rPr>
        <w:t>Toetuse saaja</w:t>
      </w:r>
      <w:r w:rsidR="006C2C69">
        <w:rPr>
          <w:b/>
        </w:rPr>
        <w:t>:</w:t>
      </w:r>
    </w:p>
    <w:p w14:paraId="5E4C0D25" w14:textId="77777777" w:rsidR="00710141" w:rsidRDefault="00710141" w:rsidP="002A55D1"/>
    <w:p w14:paraId="0A193AFD" w14:textId="48CC3FB8" w:rsidR="002A55D1" w:rsidRPr="006C2C69" w:rsidRDefault="00710141" w:rsidP="002A55D1">
      <w:pPr>
        <w:rPr>
          <w:i/>
        </w:rPr>
      </w:pPr>
      <w:r w:rsidRPr="006C2C69">
        <w:rPr>
          <w:i/>
        </w:rPr>
        <w:t>Tõnu Ints</w:t>
      </w:r>
    </w:p>
    <w:p w14:paraId="6B96AB90" w14:textId="0FD70403" w:rsidR="006C2C69" w:rsidRPr="006C2C69" w:rsidRDefault="006C2C69" w:rsidP="002A55D1">
      <w:pPr>
        <w:rPr>
          <w:i/>
        </w:rPr>
      </w:pPr>
      <w:r>
        <w:rPr>
          <w:i/>
        </w:rPr>
        <w:t xml:space="preserve">keskuse </w:t>
      </w:r>
      <w:r w:rsidRPr="006C2C69">
        <w:rPr>
          <w:i/>
        </w:rPr>
        <w:t>juhataja</w:t>
      </w:r>
    </w:p>
    <w:p w14:paraId="1DD44CF2" w14:textId="77777777" w:rsidR="00DC2D52" w:rsidRDefault="00DC2D52" w:rsidP="002A55D1">
      <w:pPr>
        <w:rPr>
          <w:i/>
        </w:rPr>
      </w:pPr>
    </w:p>
    <w:p w14:paraId="7498B135" w14:textId="20D34188" w:rsidR="00DC2D52" w:rsidRPr="00DD1C70" w:rsidRDefault="00DC2D52" w:rsidP="002A55D1">
      <w:pPr>
        <w:rPr>
          <w:i/>
        </w:rPr>
      </w:pPr>
      <w:r>
        <w:rPr>
          <w:i/>
        </w:rPr>
        <w:t>/allkirjastatud digitaalselt/</w:t>
      </w:r>
    </w:p>
    <w:p w14:paraId="0AA825F2" w14:textId="77777777" w:rsidR="003254F4" w:rsidRDefault="003254F4" w:rsidP="003254F4">
      <w:pPr>
        <w:widowControl/>
        <w:suppressAutoHyphens w:val="0"/>
        <w:spacing w:line="240" w:lineRule="auto"/>
        <w:rPr>
          <w:rFonts w:eastAsia="Times New Roman"/>
          <w:kern w:val="0"/>
          <w:lang w:eastAsia="en-US" w:bidi="ar-SA"/>
        </w:rPr>
      </w:pPr>
    </w:p>
    <w:p w14:paraId="13302D2F" w14:textId="77777777" w:rsidR="00160DBE" w:rsidRDefault="00160DBE" w:rsidP="003254F4">
      <w:pPr>
        <w:rPr>
          <w:b/>
        </w:rPr>
      </w:pPr>
    </w:p>
    <w:sectPr w:rsidR="00160DBE" w:rsidSect="00DF1113">
      <w:headerReference w:type="even" r:id="rId13"/>
      <w:headerReference w:type="default" r:id="rId14"/>
      <w:footerReference w:type="even" r:id="rId15"/>
      <w:footerReference w:type="default" r:id="rId16"/>
      <w:headerReference w:type="first" r:id="rId17"/>
      <w:footerReference w:type="first" r:id="rId18"/>
      <w:pgSz w:w="11906" w:h="16838" w:code="9"/>
      <w:pgMar w:top="1021" w:right="1418" w:bottom="1814" w:left="907" w:header="510" w:footer="510" w:gutter="0"/>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y Pärn" w:date="2016-02-10T08:22:00Z" w:initials="LP">
    <w:p w14:paraId="4193D427" w14:textId="1AA42A7C" w:rsidR="007F5F43" w:rsidRDefault="007F5F43">
      <w:pPr>
        <w:pStyle w:val="CommentText"/>
      </w:pPr>
      <w:r>
        <w:rPr>
          <w:rStyle w:val="CommentReference"/>
        </w:rPr>
        <w:annotationRef/>
      </w:r>
      <w:r>
        <w:t>Milles nende haavatavus seisnes?</w:t>
      </w:r>
    </w:p>
  </w:comment>
  <w:comment w:id="1" w:author="Ly Pärn" w:date="2016-02-10T08:23:00Z" w:initials="LP">
    <w:p w14:paraId="26FE9278" w14:textId="2AAA084B" w:rsidR="007F5F43" w:rsidRDefault="007F5F43">
      <w:pPr>
        <w:pStyle w:val="CommentText"/>
      </w:pPr>
      <w:r>
        <w:rPr>
          <w:rStyle w:val="CommentReference"/>
        </w:rPr>
        <w:annotationRef/>
      </w:r>
      <w:r>
        <w:t>Kas need olid haavatavasse gruppi kuuluvad isikud?</w:t>
      </w:r>
    </w:p>
  </w:comment>
  <w:comment w:id="3" w:author="Ly Pärn" w:date="2016-02-10T09:56:00Z" w:initials="LP">
    <w:p w14:paraId="58B3A158" w14:textId="50C451BB" w:rsidR="00A36066" w:rsidRDefault="00A36066">
      <w:pPr>
        <w:pStyle w:val="CommentText"/>
      </w:pPr>
      <w:r>
        <w:rPr>
          <w:rStyle w:val="CommentReference"/>
        </w:rPr>
        <w:annotationRef/>
      </w:r>
      <w:r>
        <w:t>Eelpool oli viidatud et 15 isikut on koolitatud ja 6 on tööle asunud?</w:t>
      </w:r>
    </w:p>
  </w:comment>
  <w:comment w:id="4" w:author="Ly Pärn" w:date="2016-02-16T11:23:00Z" w:initials="LP">
    <w:p w14:paraId="16804BF4" w14:textId="0B4E38D8" w:rsidR="00A36066" w:rsidRDefault="00A36066">
      <w:pPr>
        <w:pStyle w:val="CommentText"/>
      </w:pPr>
      <w:r>
        <w:rPr>
          <w:rStyle w:val="CommentReference"/>
        </w:rPr>
        <w:annotationRef/>
      </w:r>
      <w:r>
        <w:t xml:space="preserve"> </w:t>
      </w:r>
      <w:r>
        <w:t>Mis teistest saanud 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99248" w14:textId="77777777" w:rsidR="00C30C5F" w:rsidRDefault="00C30C5F" w:rsidP="00DF44DF">
      <w:r>
        <w:separator/>
      </w:r>
    </w:p>
  </w:endnote>
  <w:endnote w:type="continuationSeparator" w:id="0">
    <w:p w14:paraId="64B7CD98" w14:textId="77777777" w:rsidR="00C30C5F" w:rsidRDefault="00C30C5F"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8C716" w14:textId="77777777" w:rsidR="0089664F" w:rsidRDefault="00896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403173"/>
      <w:docPartObj>
        <w:docPartGallery w:val="Page Numbers (Bottom of Page)"/>
        <w:docPartUnique/>
      </w:docPartObj>
    </w:sdtPr>
    <w:sdtEndPr/>
    <w:sdtContent>
      <w:p w14:paraId="35923BC5" w14:textId="4DB260B0" w:rsidR="0089664F" w:rsidRDefault="0089664F">
        <w:pPr>
          <w:pStyle w:val="Footer"/>
          <w:jc w:val="center"/>
        </w:pPr>
        <w:r>
          <w:fldChar w:fldCharType="begin"/>
        </w:r>
        <w:r>
          <w:instrText>PAGE   \* MERGEFORMAT</w:instrText>
        </w:r>
        <w:r>
          <w:fldChar w:fldCharType="separate"/>
        </w:r>
        <w:r w:rsidR="00B9109E">
          <w:rPr>
            <w:noProof/>
          </w:rPr>
          <w:t>3</w:t>
        </w:r>
        <w:r>
          <w:fldChar w:fldCharType="end"/>
        </w:r>
      </w:p>
    </w:sdtContent>
  </w:sdt>
  <w:p w14:paraId="73897545" w14:textId="77777777" w:rsidR="0089664F" w:rsidRDefault="008966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293379"/>
      <w:docPartObj>
        <w:docPartGallery w:val="Page Numbers (Bottom of Page)"/>
        <w:docPartUnique/>
      </w:docPartObj>
    </w:sdtPr>
    <w:sdtEndPr/>
    <w:sdtContent>
      <w:p w14:paraId="0887B74F" w14:textId="079EA471" w:rsidR="0089664F" w:rsidRDefault="0089664F">
        <w:pPr>
          <w:pStyle w:val="Footer"/>
          <w:jc w:val="center"/>
        </w:pPr>
        <w:r>
          <w:fldChar w:fldCharType="begin"/>
        </w:r>
        <w:r>
          <w:instrText>PAGE   \* MERGEFORMAT</w:instrText>
        </w:r>
        <w:r>
          <w:fldChar w:fldCharType="separate"/>
        </w:r>
        <w:r w:rsidR="00B9109E">
          <w:rPr>
            <w:noProof/>
          </w:rPr>
          <w:t>1</w:t>
        </w:r>
        <w:r>
          <w:fldChar w:fldCharType="end"/>
        </w:r>
      </w:p>
    </w:sdtContent>
  </w:sdt>
  <w:p w14:paraId="635168D9" w14:textId="77777777" w:rsidR="0089664F" w:rsidRDefault="00896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0A9CA" w14:textId="77777777" w:rsidR="00C30C5F" w:rsidRDefault="00C30C5F" w:rsidP="00DF44DF">
      <w:r>
        <w:separator/>
      </w:r>
    </w:p>
  </w:footnote>
  <w:footnote w:type="continuationSeparator" w:id="0">
    <w:p w14:paraId="527095DE" w14:textId="77777777" w:rsidR="00C30C5F" w:rsidRDefault="00C30C5F"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B1779" w14:textId="77777777" w:rsidR="0089664F" w:rsidRDefault="00896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52905" w14:textId="77777777" w:rsidR="00110BCA" w:rsidRDefault="00110BCA" w:rsidP="00110BCA">
    <w:pPr>
      <w:pStyle w:val="Jalus1"/>
      <w:jc w:val="center"/>
    </w:pPr>
  </w:p>
  <w:p w14:paraId="0AD52906" w14:textId="77777777" w:rsidR="00110BCA" w:rsidRDefault="00110B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D6C8" w14:textId="7AB42478" w:rsidR="00FB7213" w:rsidRDefault="00FB7213">
    <w:pPr>
      <w:pStyle w:val="Header"/>
    </w:pPr>
    <w:r>
      <w:t xml:space="preserve">                  </w:t>
    </w:r>
    <w:r>
      <w:rPr>
        <w:noProof/>
        <w:lang w:eastAsia="et-EE" w:bidi="ar-SA"/>
      </w:rPr>
      <w:drawing>
        <wp:inline distT="0" distB="0" distL="0" distR="0" wp14:anchorId="1404236C" wp14:editId="7DCFA1CD">
          <wp:extent cx="1009650" cy="67742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t xml:space="preserve">                                              </w:t>
    </w:r>
    <w:r>
      <w:rPr>
        <w:noProof/>
        <w:lang w:eastAsia="et-EE" w:bidi="ar-SA"/>
      </w:rPr>
      <w:drawing>
        <wp:inline distT="0" distB="0" distL="0" distR="0" wp14:anchorId="6EEC7282" wp14:editId="7FF1CF8C">
          <wp:extent cx="2018571" cy="8096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5B6"/>
    <w:multiLevelType w:val="hybridMultilevel"/>
    <w:tmpl w:val="E59AEB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F9E41D7"/>
    <w:multiLevelType w:val="hybridMultilevel"/>
    <w:tmpl w:val="1A023E98"/>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
    <w:nsid w:val="119A695D"/>
    <w:multiLevelType w:val="hybridMultilevel"/>
    <w:tmpl w:val="9C00333E"/>
    <w:lvl w:ilvl="0" w:tplc="2F90EC82">
      <w:start w:val="1"/>
      <w:numFmt w:val="decimal"/>
      <w:lvlText w:val="%1."/>
      <w:lvlJc w:val="left"/>
      <w:pPr>
        <w:tabs>
          <w:tab w:val="num" w:pos="1080"/>
        </w:tabs>
        <w:ind w:left="1080" w:hanging="720"/>
      </w:pPr>
      <w:rPr>
        <w:rFonts w:ascii="Times New Roman" w:hAnsi="Times New Roman" w:cs="Times New Roman"/>
        <w:b/>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3">
    <w:nsid w:val="11B15F46"/>
    <w:multiLevelType w:val="hybridMultilevel"/>
    <w:tmpl w:val="404E44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33748C7"/>
    <w:multiLevelType w:val="hybridMultilevel"/>
    <w:tmpl w:val="7A905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D60BF6"/>
    <w:multiLevelType w:val="hybridMultilevel"/>
    <w:tmpl w:val="4E7693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8115B1B"/>
    <w:multiLevelType w:val="multilevel"/>
    <w:tmpl w:val="1618169E"/>
    <w:lvl w:ilvl="0">
      <w:start w:val="1"/>
      <w:numFmt w:val="decimal"/>
      <w:lvlText w:val="%1."/>
      <w:lvlJc w:val="left"/>
      <w:pPr>
        <w:tabs>
          <w:tab w:val="num" w:pos="0"/>
        </w:tabs>
      </w:pPr>
    </w:lvl>
    <w:lvl w:ilvl="1">
      <w:start w:val="1"/>
      <w:numFmt w:val="decimal"/>
      <w:lvlText w:val=" %1.%2 "/>
      <w:lvlJc w:val="left"/>
      <w:pPr>
        <w:tabs>
          <w:tab w:val="num" w:pos="568"/>
        </w:tabs>
      </w:pPr>
      <w:rPr>
        <w:rFonts w:cs="Times New Roman"/>
      </w:rPr>
    </w:lvl>
    <w:lvl w:ilvl="2">
      <w:start w:val="1"/>
      <w:numFmt w:val="decimal"/>
      <w:lvlText w:val=" %1.%2.%3 "/>
      <w:lvlJc w:val="left"/>
      <w:pPr>
        <w:tabs>
          <w:tab w:val="num" w:pos="284"/>
        </w:tabs>
        <w:ind w:left="284"/>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7">
    <w:nsid w:val="28C70B76"/>
    <w:multiLevelType w:val="hybridMultilevel"/>
    <w:tmpl w:val="91EA6944"/>
    <w:lvl w:ilvl="0" w:tplc="B7B89844">
      <w:start w:val="1"/>
      <w:numFmt w:val="decimal"/>
      <w:lvlText w:val="%1."/>
      <w:lvlJc w:val="left"/>
      <w:pPr>
        <w:ind w:left="720" w:hanging="360"/>
      </w:pPr>
      <w:rPr>
        <w:rFonts w:ascii="Times New Roman" w:eastAsia="SimSun" w:hAnsi="Times New Roman"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nsid w:val="299505EF"/>
    <w:multiLevelType w:val="hybridMultilevel"/>
    <w:tmpl w:val="80CC7E0E"/>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9">
    <w:nsid w:val="37895311"/>
    <w:multiLevelType w:val="hybridMultilevel"/>
    <w:tmpl w:val="D15650BE"/>
    <w:lvl w:ilvl="0" w:tplc="20AA7762">
      <w:start w:val="1"/>
      <w:numFmt w:val="decimal"/>
      <w:lvlText w:val="%1."/>
      <w:lvlJc w:val="left"/>
      <w:pPr>
        <w:tabs>
          <w:tab w:val="num" w:pos="720"/>
        </w:tabs>
        <w:ind w:left="720" w:hanging="360"/>
      </w:pPr>
      <w:rPr>
        <w:rFonts w:cs="Times New Roman"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5A118D"/>
    <w:multiLevelType w:val="hybridMultilevel"/>
    <w:tmpl w:val="E8E2E9E2"/>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1">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47A138A7"/>
    <w:multiLevelType w:val="hybridMultilevel"/>
    <w:tmpl w:val="954E7ADE"/>
    <w:lvl w:ilvl="0" w:tplc="E6EC722E">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nsid w:val="55D47AD9"/>
    <w:multiLevelType w:val="hybridMultilevel"/>
    <w:tmpl w:val="D6921FA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4">
    <w:nsid w:val="59111F4F"/>
    <w:multiLevelType w:val="hybridMultilevel"/>
    <w:tmpl w:val="C40E02AC"/>
    <w:lvl w:ilvl="0" w:tplc="04250001">
      <w:start w:val="1"/>
      <w:numFmt w:val="bullet"/>
      <w:lvlText w:val=""/>
      <w:lvlJc w:val="left"/>
      <w:pPr>
        <w:tabs>
          <w:tab w:val="num" w:pos="1425"/>
        </w:tabs>
        <w:ind w:left="1425" w:hanging="360"/>
      </w:pPr>
      <w:rPr>
        <w:rFonts w:ascii="Symbol" w:hAnsi="Symbol" w:hint="default"/>
      </w:rPr>
    </w:lvl>
    <w:lvl w:ilvl="1" w:tplc="04250003">
      <w:start w:val="1"/>
      <w:numFmt w:val="bullet"/>
      <w:lvlText w:val="o"/>
      <w:lvlJc w:val="left"/>
      <w:pPr>
        <w:tabs>
          <w:tab w:val="num" w:pos="2145"/>
        </w:tabs>
        <w:ind w:left="2145" w:hanging="360"/>
      </w:pPr>
      <w:rPr>
        <w:rFonts w:ascii="Courier New" w:hAnsi="Courier New" w:hint="default"/>
      </w:rPr>
    </w:lvl>
    <w:lvl w:ilvl="2" w:tplc="04250005">
      <w:start w:val="1"/>
      <w:numFmt w:val="bullet"/>
      <w:lvlText w:val=""/>
      <w:lvlJc w:val="left"/>
      <w:pPr>
        <w:tabs>
          <w:tab w:val="num" w:pos="2865"/>
        </w:tabs>
        <w:ind w:left="2865" w:hanging="360"/>
      </w:pPr>
      <w:rPr>
        <w:rFonts w:ascii="Wingdings" w:hAnsi="Wingdings" w:hint="default"/>
      </w:rPr>
    </w:lvl>
    <w:lvl w:ilvl="3" w:tplc="04250001">
      <w:start w:val="1"/>
      <w:numFmt w:val="bullet"/>
      <w:lvlText w:val=""/>
      <w:lvlJc w:val="left"/>
      <w:pPr>
        <w:tabs>
          <w:tab w:val="num" w:pos="3585"/>
        </w:tabs>
        <w:ind w:left="3585" w:hanging="360"/>
      </w:pPr>
      <w:rPr>
        <w:rFonts w:ascii="Symbol" w:hAnsi="Symbol" w:hint="default"/>
      </w:rPr>
    </w:lvl>
    <w:lvl w:ilvl="4" w:tplc="04250003">
      <w:start w:val="1"/>
      <w:numFmt w:val="bullet"/>
      <w:lvlText w:val="o"/>
      <w:lvlJc w:val="left"/>
      <w:pPr>
        <w:tabs>
          <w:tab w:val="num" w:pos="4305"/>
        </w:tabs>
        <w:ind w:left="4305" w:hanging="360"/>
      </w:pPr>
      <w:rPr>
        <w:rFonts w:ascii="Courier New" w:hAnsi="Courier New" w:hint="default"/>
      </w:rPr>
    </w:lvl>
    <w:lvl w:ilvl="5" w:tplc="04250005">
      <w:start w:val="1"/>
      <w:numFmt w:val="bullet"/>
      <w:lvlText w:val=""/>
      <w:lvlJc w:val="left"/>
      <w:pPr>
        <w:tabs>
          <w:tab w:val="num" w:pos="5025"/>
        </w:tabs>
        <w:ind w:left="5025" w:hanging="360"/>
      </w:pPr>
      <w:rPr>
        <w:rFonts w:ascii="Wingdings" w:hAnsi="Wingdings" w:hint="default"/>
      </w:rPr>
    </w:lvl>
    <w:lvl w:ilvl="6" w:tplc="04250001">
      <w:start w:val="1"/>
      <w:numFmt w:val="bullet"/>
      <w:lvlText w:val=""/>
      <w:lvlJc w:val="left"/>
      <w:pPr>
        <w:tabs>
          <w:tab w:val="num" w:pos="5745"/>
        </w:tabs>
        <w:ind w:left="5745" w:hanging="360"/>
      </w:pPr>
      <w:rPr>
        <w:rFonts w:ascii="Symbol" w:hAnsi="Symbol" w:hint="default"/>
      </w:rPr>
    </w:lvl>
    <w:lvl w:ilvl="7" w:tplc="04250003">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5">
    <w:nsid w:val="696170FE"/>
    <w:multiLevelType w:val="hybridMultilevel"/>
    <w:tmpl w:val="12E41C84"/>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6">
    <w:nsid w:val="6AEE7879"/>
    <w:multiLevelType w:val="hybridMultilevel"/>
    <w:tmpl w:val="22DA5996"/>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7">
    <w:nsid w:val="7E3643A3"/>
    <w:multiLevelType w:val="hybridMultilevel"/>
    <w:tmpl w:val="9104C0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8"/>
  </w:num>
  <w:num w:numId="8">
    <w:abstractNumId w:val="5"/>
  </w:num>
  <w:num w:numId="9">
    <w:abstractNumId w:val="0"/>
  </w:num>
  <w:num w:numId="10">
    <w:abstractNumId w:val="6"/>
  </w:num>
  <w:num w:numId="11">
    <w:abstractNumId w:val="14"/>
  </w:num>
  <w:num w:numId="12">
    <w:abstractNumId w:val="16"/>
  </w:num>
  <w:num w:numId="13">
    <w:abstractNumId w:val="15"/>
  </w:num>
  <w:num w:numId="14">
    <w:abstractNumId w:val="10"/>
  </w:num>
  <w:num w:numId="15">
    <w:abstractNumId w:val="12"/>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D4"/>
    <w:rsid w:val="00025F2A"/>
    <w:rsid w:val="000367F7"/>
    <w:rsid w:val="00043DAE"/>
    <w:rsid w:val="0004665A"/>
    <w:rsid w:val="00060947"/>
    <w:rsid w:val="00073127"/>
    <w:rsid w:val="00090C97"/>
    <w:rsid w:val="000913FC"/>
    <w:rsid w:val="000942A5"/>
    <w:rsid w:val="000B291D"/>
    <w:rsid w:val="000E2004"/>
    <w:rsid w:val="000E4F8D"/>
    <w:rsid w:val="000F157E"/>
    <w:rsid w:val="00110BCA"/>
    <w:rsid w:val="00124999"/>
    <w:rsid w:val="001326FF"/>
    <w:rsid w:val="00160DBE"/>
    <w:rsid w:val="00167D90"/>
    <w:rsid w:val="001A7D04"/>
    <w:rsid w:val="001B434F"/>
    <w:rsid w:val="001D4CFB"/>
    <w:rsid w:val="001D50CF"/>
    <w:rsid w:val="002008A2"/>
    <w:rsid w:val="0022269C"/>
    <w:rsid w:val="0024315C"/>
    <w:rsid w:val="00255E5D"/>
    <w:rsid w:val="0026456A"/>
    <w:rsid w:val="0027652E"/>
    <w:rsid w:val="002835BB"/>
    <w:rsid w:val="00283DF5"/>
    <w:rsid w:val="00293449"/>
    <w:rsid w:val="002A55D1"/>
    <w:rsid w:val="002B4778"/>
    <w:rsid w:val="002F254F"/>
    <w:rsid w:val="002F4E8B"/>
    <w:rsid w:val="002F600C"/>
    <w:rsid w:val="003254F4"/>
    <w:rsid w:val="00354059"/>
    <w:rsid w:val="003923A1"/>
    <w:rsid w:val="0039419D"/>
    <w:rsid w:val="00394DCB"/>
    <w:rsid w:val="003A2F42"/>
    <w:rsid w:val="003B2A9C"/>
    <w:rsid w:val="003C1B43"/>
    <w:rsid w:val="003E27A7"/>
    <w:rsid w:val="003F0679"/>
    <w:rsid w:val="004046AD"/>
    <w:rsid w:val="00405CF4"/>
    <w:rsid w:val="00435A13"/>
    <w:rsid w:val="004378AC"/>
    <w:rsid w:val="0044084D"/>
    <w:rsid w:val="00485A2E"/>
    <w:rsid w:val="00492F89"/>
    <w:rsid w:val="00493722"/>
    <w:rsid w:val="004A3512"/>
    <w:rsid w:val="004C1391"/>
    <w:rsid w:val="0050252A"/>
    <w:rsid w:val="00546204"/>
    <w:rsid w:val="0055057E"/>
    <w:rsid w:val="00551E24"/>
    <w:rsid w:val="00557534"/>
    <w:rsid w:val="00560A92"/>
    <w:rsid w:val="0056160C"/>
    <w:rsid w:val="00564569"/>
    <w:rsid w:val="00566D45"/>
    <w:rsid w:val="00571C62"/>
    <w:rsid w:val="00585F95"/>
    <w:rsid w:val="005927C1"/>
    <w:rsid w:val="005A45DA"/>
    <w:rsid w:val="005A7BE7"/>
    <w:rsid w:val="005B0866"/>
    <w:rsid w:val="005B5CE1"/>
    <w:rsid w:val="005D3793"/>
    <w:rsid w:val="005E1135"/>
    <w:rsid w:val="005E3AED"/>
    <w:rsid w:val="005E45BB"/>
    <w:rsid w:val="00602834"/>
    <w:rsid w:val="00605AE7"/>
    <w:rsid w:val="00642104"/>
    <w:rsid w:val="00656C4A"/>
    <w:rsid w:val="00680609"/>
    <w:rsid w:val="00690140"/>
    <w:rsid w:val="006947DB"/>
    <w:rsid w:val="006B50C7"/>
    <w:rsid w:val="006C2C69"/>
    <w:rsid w:val="006E16BD"/>
    <w:rsid w:val="006F3BB9"/>
    <w:rsid w:val="006F72D7"/>
    <w:rsid w:val="00702042"/>
    <w:rsid w:val="007056E1"/>
    <w:rsid w:val="0070684C"/>
    <w:rsid w:val="00710141"/>
    <w:rsid w:val="00713327"/>
    <w:rsid w:val="00713945"/>
    <w:rsid w:val="0075695A"/>
    <w:rsid w:val="0076054B"/>
    <w:rsid w:val="00790CCD"/>
    <w:rsid w:val="007911F2"/>
    <w:rsid w:val="00793A3C"/>
    <w:rsid w:val="007A1DE8"/>
    <w:rsid w:val="007A60C1"/>
    <w:rsid w:val="007C1B62"/>
    <w:rsid w:val="007C2E8E"/>
    <w:rsid w:val="007D54FC"/>
    <w:rsid w:val="007F36AF"/>
    <w:rsid w:val="007F55B0"/>
    <w:rsid w:val="007F5F43"/>
    <w:rsid w:val="007F7370"/>
    <w:rsid w:val="00806F6C"/>
    <w:rsid w:val="00806FB2"/>
    <w:rsid w:val="008145F3"/>
    <w:rsid w:val="00816877"/>
    <w:rsid w:val="00835858"/>
    <w:rsid w:val="0084562D"/>
    <w:rsid w:val="00854903"/>
    <w:rsid w:val="008919F2"/>
    <w:rsid w:val="00892E18"/>
    <w:rsid w:val="008940EE"/>
    <w:rsid w:val="0089664F"/>
    <w:rsid w:val="008B4ABA"/>
    <w:rsid w:val="008B597E"/>
    <w:rsid w:val="008D4634"/>
    <w:rsid w:val="008F0B50"/>
    <w:rsid w:val="0091786B"/>
    <w:rsid w:val="00932CDE"/>
    <w:rsid w:val="009370A4"/>
    <w:rsid w:val="00945D80"/>
    <w:rsid w:val="00946E83"/>
    <w:rsid w:val="00967866"/>
    <w:rsid w:val="009709A8"/>
    <w:rsid w:val="009B091C"/>
    <w:rsid w:val="009E7F4A"/>
    <w:rsid w:val="00A10E66"/>
    <w:rsid w:val="00A1244E"/>
    <w:rsid w:val="00A36066"/>
    <w:rsid w:val="00AA43FD"/>
    <w:rsid w:val="00AD2EA7"/>
    <w:rsid w:val="00AD49AE"/>
    <w:rsid w:val="00AE1997"/>
    <w:rsid w:val="00AE4BC5"/>
    <w:rsid w:val="00AE7DDE"/>
    <w:rsid w:val="00AF708B"/>
    <w:rsid w:val="00B27493"/>
    <w:rsid w:val="00B42AC5"/>
    <w:rsid w:val="00B43295"/>
    <w:rsid w:val="00B43BE2"/>
    <w:rsid w:val="00B9109E"/>
    <w:rsid w:val="00BC1A62"/>
    <w:rsid w:val="00BD078E"/>
    <w:rsid w:val="00BD3CCF"/>
    <w:rsid w:val="00BF4D7C"/>
    <w:rsid w:val="00BF7358"/>
    <w:rsid w:val="00BF7CDC"/>
    <w:rsid w:val="00C12BEA"/>
    <w:rsid w:val="00C24F66"/>
    <w:rsid w:val="00C27B07"/>
    <w:rsid w:val="00C30C5F"/>
    <w:rsid w:val="00C35657"/>
    <w:rsid w:val="00C41FC5"/>
    <w:rsid w:val="00C67387"/>
    <w:rsid w:val="00C71768"/>
    <w:rsid w:val="00C83346"/>
    <w:rsid w:val="00C90E39"/>
    <w:rsid w:val="00C94965"/>
    <w:rsid w:val="00CA583B"/>
    <w:rsid w:val="00CA5F0B"/>
    <w:rsid w:val="00CD19AB"/>
    <w:rsid w:val="00CD5E59"/>
    <w:rsid w:val="00CF2B77"/>
    <w:rsid w:val="00CF4303"/>
    <w:rsid w:val="00D04923"/>
    <w:rsid w:val="00D40650"/>
    <w:rsid w:val="00D5063F"/>
    <w:rsid w:val="00D559F8"/>
    <w:rsid w:val="00D61AD5"/>
    <w:rsid w:val="00D67326"/>
    <w:rsid w:val="00D8202D"/>
    <w:rsid w:val="00D82747"/>
    <w:rsid w:val="00DC2D52"/>
    <w:rsid w:val="00DE7B97"/>
    <w:rsid w:val="00DF1113"/>
    <w:rsid w:val="00DF44DF"/>
    <w:rsid w:val="00E023F6"/>
    <w:rsid w:val="00E03DBB"/>
    <w:rsid w:val="00E17F4C"/>
    <w:rsid w:val="00E773EA"/>
    <w:rsid w:val="00ED7B5B"/>
    <w:rsid w:val="00EE4FCE"/>
    <w:rsid w:val="00F122D1"/>
    <w:rsid w:val="00F12D4F"/>
    <w:rsid w:val="00F25A4E"/>
    <w:rsid w:val="00F65B40"/>
    <w:rsid w:val="00F671D4"/>
    <w:rsid w:val="00F9645B"/>
    <w:rsid w:val="00FB7213"/>
    <w:rsid w:val="00FC138C"/>
    <w:rsid w:val="00FC33F5"/>
    <w:rsid w:val="00FF43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AD5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F1113"/>
    <w:pPr>
      <w:widowControl/>
      <w:suppressAutoHyphens w:val="0"/>
      <w:spacing w:line="240" w:lineRule="auto"/>
    </w:pPr>
    <w:rPr>
      <w:rFonts w:eastAsia="Times New Roman"/>
      <w:kern w:val="0"/>
      <w:szCs w:val="20"/>
      <w:lang w:eastAsia="en-US" w:bidi="ar-SA"/>
    </w:rPr>
  </w:style>
  <w:style w:type="character" w:customStyle="1" w:styleId="BodyTextChar">
    <w:name w:val="Body Text Char"/>
    <w:basedOn w:val="DefaultParagraphFont"/>
    <w:link w:val="BodyText"/>
    <w:uiPriority w:val="99"/>
    <w:rsid w:val="00DF1113"/>
    <w:rPr>
      <w:sz w:val="24"/>
      <w:lang w:eastAsia="en-US"/>
    </w:rPr>
  </w:style>
  <w:style w:type="paragraph" w:customStyle="1" w:styleId="Lisatekst">
    <w:name w:val="Lisatekst"/>
    <w:basedOn w:val="BodyText"/>
    <w:uiPriority w:val="99"/>
    <w:rsid w:val="00DF1113"/>
    <w:pPr>
      <w:numPr>
        <w:numId w:val="1"/>
      </w:numPr>
      <w:tabs>
        <w:tab w:val="left" w:pos="6521"/>
      </w:tabs>
      <w:spacing w:before="120"/>
    </w:pPr>
  </w:style>
  <w:style w:type="character" w:styleId="FootnoteReference">
    <w:name w:val="footnote reference"/>
    <w:basedOn w:val="DefaultParagraphFont"/>
    <w:uiPriority w:val="99"/>
    <w:rsid w:val="00DF1113"/>
    <w:rPr>
      <w:rFonts w:cs="Times New Roman"/>
      <w:vertAlign w:val="superscript"/>
    </w:rPr>
  </w:style>
  <w:style w:type="paragraph" w:customStyle="1" w:styleId="Bodyl">
    <w:name w:val="Bodyl"/>
    <w:basedOn w:val="Normal"/>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l"/>
    <w:autoRedefine/>
    <w:uiPriority w:val="99"/>
    <w:rsid w:val="00DF1113"/>
    <w:pPr>
      <w:spacing w:before="240" w:line="240" w:lineRule="auto"/>
      <w:jc w:val="center"/>
    </w:pPr>
    <w:rPr>
      <w:rFonts w:eastAsia="Times New Roman"/>
      <w:b/>
      <w:bCs/>
      <w:kern w:val="0"/>
      <w:lang w:eastAsia="lt-LT" w:bidi="ar-SA"/>
    </w:rPr>
  </w:style>
  <w:style w:type="paragraph" w:styleId="FootnoteText">
    <w:name w:val="footnote text"/>
    <w:basedOn w:val="Normal"/>
    <w:link w:val="FootnoteTextChar"/>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FootnoteTextChar">
    <w:name w:val="Footnote Text Char"/>
    <w:basedOn w:val="DefaultParagraphFont"/>
    <w:link w:val="FootnoteText"/>
    <w:uiPriority w:val="99"/>
    <w:semiHidden/>
    <w:rsid w:val="00DF1113"/>
    <w:rPr>
      <w:rFonts w:cs="Arial"/>
      <w:lang w:eastAsia="en-US"/>
    </w:rPr>
  </w:style>
  <w:style w:type="paragraph" w:styleId="ListParagraph">
    <w:name w:val="List Paragraph"/>
    <w:basedOn w:val="Normal"/>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Heading1Char">
    <w:name w:val="Heading 1 Char"/>
    <w:basedOn w:val="DefaultParagraphFont"/>
    <w:link w:val="Heading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l"/>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TableNormal"/>
    <w:next w:val="TableGrid"/>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 w:type="character" w:styleId="CommentReference">
    <w:name w:val="annotation reference"/>
    <w:basedOn w:val="DefaultParagraphFont"/>
    <w:uiPriority w:val="99"/>
    <w:semiHidden/>
    <w:unhideWhenUsed/>
    <w:rsid w:val="007F5F43"/>
    <w:rPr>
      <w:sz w:val="16"/>
      <w:szCs w:val="16"/>
    </w:rPr>
  </w:style>
  <w:style w:type="paragraph" w:styleId="CommentText">
    <w:name w:val="annotation text"/>
    <w:basedOn w:val="Normal"/>
    <w:link w:val="CommentTextChar"/>
    <w:uiPriority w:val="99"/>
    <w:semiHidden/>
    <w:unhideWhenUsed/>
    <w:rsid w:val="007F5F43"/>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7F5F43"/>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7F5F43"/>
    <w:rPr>
      <w:b/>
      <w:bCs/>
    </w:rPr>
  </w:style>
  <w:style w:type="character" w:customStyle="1" w:styleId="CommentSubjectChar">
    <w:name w:val="Comment Subject Char"/>
    <w:basedOn w:val="CommentTextChar"/>
    <w:link w:val="CommentSubject"/>
    <w:uiPriority w:val="99"/>
    <w:semiHidden/>
    <w:rsid w:val="007F5F43"/>
    <w:rPr>
      <w:rFonts w:eastAsia="SimSun" w:cs="Mangal"/>
      <w:b/>
      <w:bCs/>
      <w:kern w:val="1"/>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F1113"/>
    <w:pPr>
      <w:widowControl/>
      <w:suppressAutoHyphens w:val="0"/>
      <w:spacing w:line="240" w:lineRule="auto"/>
    </w:pPr>
    <w:rPr>
      <w:rFonts w:eastAsia="Times New Roman"/>
      <w:kern w:val="0"/>
      <w:szCs w:val="20"/>
      <w:lang w:eastAsia="en-US" w:bidi="ar-SA"/>
    </w:rPr>
  </w:style>
  <w:style w:type="character" w:customStyle="1" w:styleId="BodyTextChar">
    <w:name w:val="Body Text Char"/>
    <w:basedOn w:val="DefaultParagraphFont"/>
    <w:link w:val="BodyText"/>
    <w:uiPriority w:val="99"/>
    <w:rsid w:val="00DF1113"/>
    <w:rPr>
      <w:sz w:val="24"/>
      <w:lang w:eastAsia="en-US"/>
    </w:rPr>
  </w:style>
  <w:style w:type="paragraph" w:customStyle="1" w:styleId="Lisatekst">
    <w:name w:val="Lisatekst"/>
    <w:basedOn w:val="BodyText"/>
    <w:uiPriority w:val="99"/>
    <w:rsid w:val="00DF1113"/>
    <w:pPr>
      <w:numPr>
        <w:numId w:val="1"/>
      </w:numPr>
      <w:tabs>
        <w:tab w:val="left" w:pos="6521"/>
      </w:tabs>
      <w:spacing w:before="120"/>
    </w:pPr>
  </w:style>
  <w:style w:type="character" w:styleId="FootnoteReference">
    <w:name w:val="footnote reference"/>
    <w:basedOn w:val="DefaultParagraphFont"/>
    <w:uiPriority w:val="99"/>
    <w:rsid w:val="00DF1113"/>
    <w:rPr>
      <w:rFonts w:cs="Times New Roman"/>
      <w:vertAlign w:val="superscript"/>
    </w:rPr>
  </w:style>
  <w:style w:type="paragraph" w:customStyle="1" w:styleId="Bodyl">
    <w:name w:val="Bodyl"/>
    <w:basedOn w:val="Normal"/>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l"/>
    <w:autoRedefine/>
    <w:uiPriority w:val="99"/>
    <w:rsid w:val="00DF1113"/>
    <w:pPr>
      <w:spacing w:before="240" w:line="240" w:lineRule="auto"/>
      <w:jc w:val="center"/>
    </w:pPr>
    <w:rPr>
      <w:rFonts w:eastAsia="Times New Roman"/>
      <w:b/>
      <w:bCs/>
      <w:kern w:val="0"/>
      <w:lang w:eastAsia="lt-LT" w:bidi="ar-SA"/>
    </w:rPr>
  </w:style>
  <w:style w:type="paragraph" w:styleId="FootnoteText">
    <w:name w:val="footnote text"/>
    <w:basedOn w:val="Normal"/>
    <w:link w:val="FootnoteTextChar"/>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FootnoteTextChar">
    <w:name w:val="Footnote Text Char"/>
    <w:basedOn w:val="DefaultParagraphFont"/>
    <w:link w:val="FootnoteText"/>
    <w:uiPriority w:val="99"/>
    <w:semiHidden/>
    <w:rsid w:val="00DF1113"/>
    <w:rPr>
      <w:rFonts w:cs="Arial"/>
      <w:lang w:eastAsia="en-US"/>
    </w:rPr>
  </w:style>
  <w:style w:type="paragraph" w:styleId="ListParagraph">
    <w:name w:val="List Paragraph"/>
    <w:basedOn w:val="Normal"/>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Heading1Char">
    <w:name w:val="Heading 1 Char"/>
    <w:basedOn w:val="DefaultParagraphFont"/>
    <w:link w:val="Heading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l"/>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TableNormal"/>
    <w:next w:val="TableGrid"/>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 w:type="character" w:styleId="CommentReference">
    <w:name w:val="annotation reference"/>
    <w:basedOn w:val="DefaultParagraphFont"/>
    <w:uiPriority w:val="99"/>
    <w:semiHidden/>
    <w:unhideWhenUsed/>
    <w:rsid w:val="007F5F43"/>
    <w:rPr>
      <w:sz w:val="16"/>
      <w:szCs w:val="16"/>
    </w:rPr>
  </w:style>
  <w:style w:type="paragraph" w:styleId="CommentText">
    <w:name w:val="annotation text"/>
    <w:basedOn w:val="Normal"/>
    <w:link w:val="CommentTextChar"/>
    <w:uiPriority w:val="99"/>
    <w:semiHidden/>
    <w:unhideWhenUsed/>
    <w:rsid w:val="007F5F43"/>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7F5F43"/>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7F5F43"/>
    <w:rPr>
      <w:b/>
      <w:bCs/>
    </w:rPr>
  </w:style>
  <w:style w:type="character" w:customStyle="1" w:styleId="CommentSubjectChar">
    <w:name w:val="Comment Subject Char"/>
    <w:basedOn w:val="CommentTextChar"/>
    <w:link w:val="CommentSubject"/>
    <w:uiPriority w:val="99"/>
    <w:semiHidden/>
    <w:rsid w:val="007F5F43"/>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340279141">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20983765">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509300346\Desktop\Mallid\M&#228;&#228;ruse%20lisa%20horisont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4AF910D-EB9B-4326-9C2F-EBB2CCEA6D08}">
  <ds:schemaRef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d0759c17-f71d-426f-a000-2a7c696f56e3"/>
    <ds:schemaRef ds:uri="http://schemas.microsoft.com/office/2006/metadata/properties"/>
  </ds:schemaRefs>
</ds:datastoreItem>
</file>

<file path=customXml/itemProps2.xml><?xml version="1.0" encoding="utf-8"?>
<ds:datastoreItem xmlns:ds="http://schemas.openxmlformats.org/officeDocument/2006/customXml" ds:itemID="{3F418BF0-A012-4932-93A7-436A0CCC28DC}">
  <ds:schemaRefs>
    <ds:schemaRef ds:uri="http://schemas.microsoft.com/sharepoint/v3/contenttype/forms"/>
  </ds:schemaRefs>
</ds:datastoreItem>
</file>

<file path=customXml/itemProps3.xml><?xml version="1.0" encoding="utf-8"?>
<ds:datastoreItem xmlns:ds="http://schemas.openxmlformats.org/officeDocument/2006/customXml" ds:itemID="{8F6208D8-5288-46BB-8BF0-DDCB96DE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F1A03-289A-4A87-B054-A362CD0F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Määruse lisa horisontaalis.dotx</Template>
  <TotalTime>3</TotalTime>
  <Pages>4</Pages>
  <Words>1212</Words>
  <Characters>7035</Characters>
  <Application>Microsoft Office Word</Application>
  <DocSecurity>0</DocSecurity>
  <Lines>58</Lines>
  <Paragraphs>16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SMIT</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Aivi Kuivonen</cp:lastModifiedBy>
  <cp:revision>3</cp:revision>
  <cp:lastPrinted>2014-04-02T13:57:00Z</cp:lastPrinted>
  <dcterms:created xsi:type="dcterms:W3CDTF">2016-02-16T09:22:00Z</dcterms:created>
  <dcterms:modified xsi:type="dcterms:W3CDTF">2016-02-16T09:25:00Z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Siseministeeriumi protseduurireeglid Varjupaiga-, Rände- ja Integratsioonifondi vahendite kasutamiseks perioodil 2014–2020</vt:lpwstr>
  </property>
  <property fmtid="{D5CDD505-2E9C-101B-9397-08002B2CF9AE}" pid="3" name="delta_ownerName">
    <vt:lpwstr>Aivi Kuivonen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aivi.kuivonen@siseministeerium.ee</vt:lpwstr>
  </property>
  <property fmtid="{D5CDD505-2E9C-101B-9397-08002B2CF9AE}" pid="7" name="delta_ownerPhone">
    <vt:lpwstr>6125179</vt:lpwstr>
  </property>
  <property fmtid="{D5CDD505-2E9C-101B-9397-08002B2CF9AE}" pid="8" name="delta_docType">
    <vt:lpwstr>{dokumendi liik}</vt:lpwstr>
  </property>
  <property fmtid="{D5CDD505-2E9C-101B-9397-08002B2CF9AE}" pid="9" name="delta_regNumber">
    <vt:lpwstr>1-3/81</vt:lpwstr>
  </property>
  <property fmtid="{D5CDD505-2E9C-101B-9397-08002B2CF9AE}" pid="10" name="delta_regDateTime">
    <vt:lpwstr>23.03.2015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Siseministri</vt:lpwstr>
  </property>
  <property fmtid="{D5CDD505-2E9C-101B-9397-08002B2CF9AE}" pid="18" name="ContentTypeId">
    <vt:lpwstr>0x0101000B5ECA4E54881843BD631B5779FA2E84</vt:lpwstr>
  </property>
</Properties>
</file>